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2" w:rsidRPr="00E55A7C" w:rsidRDefault="00DA0FC1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ПРОЕКТ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ВЕЛИКОРУССКОГО СЕЛЬСКОГО ПОСЕЛЕНИЯ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80CAA" w:rsidRPr="00742078" w:rsidRDefault="00B80CAA" w:rsidP="00B80CAA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80CAA" w:rsidRPr="00604977" w:rsidRDefault="00B80CAA" w:rsidP="00B80CAA">
      <w:pPr>
        <w:jc w:val="center"/>
        <w:rPr>
          <w:b/>
          <w:sz w:val="40"/>
          <w:szCs w:val="40"/>
        </w:rPr>
      </w:pPr>
    </w:p>
    <w:p w:rsidR="00B80CAA" w:rsidRPr="00742078" w:rsidRDefault="00B80CAA" w:rsidP="00B80CAA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80CAA" w:rsidRDefault="00B80CAA" w:rsidP="00B80CAA">
      <w:pPr>
        <w:rPr>
          <w:sz w:val="28"/>
          <w:szCs w:val="28"/>
        </w:rPr>
      </w:pPr>
    </w:p>
    <w:p w:rsidR="00B80CAA" w:rsidRPr="00742078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00.</w:t>
      </w:r>
      <w:r w:rsidR="00D25D17">
        <w:rPr>
          <w:sz w:val="28"/>
          <w:szCs w:val="28"/>
        </w:rPr>
        <w:t>00</w:t>
      </w:r>
      <w:r>
        <w:rPr>
          <w:sz w:val="28"/>
          <w:szCs w:val="28"/>
        </w:rPr>
        <w:t>.202</w:t>
      </w:r>
      <w:r w:rsidR="00353222">
        <w:rPr>
          <w:sz w:val="28"/>
          <w:szCs w:val="28"/>
        </w:rPr>
        <w:t>4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r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00-ПА</w:t>
      </w:r>
    </w:p>
    <w:p w:rsidR="00B80CAA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B80CAA" w:rsidRPr="002E5858" w:rsidRDefault="00B80CAA" w:rsidP="00B80CAA">
      <w:pPr>
        <w:jc w:val="center"/>
        <w:rPr>
          <w:bCs/>
          <w:sz w:val="28"/>
          <w:szCs w:val="28"/>
        </w:rPr>
      </w:pPr>
    </w:p>
    <w:p w:rsidR="00B80CAA" w:rsidRPr="002E5858" w:rsidRDefault="00B80CAA" w:rsidP="00B80C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 xml:space="preserve">Великорусского сельского </w:t>
      </w: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3532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B80CAA" w:rsidRPr="002E5858" w:rsidRDefault="00B80CAA" w:rsidP="00B80CA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0CAA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C6322">
        <w:rPr>
          <w:bCs/>
          <w:sz w:val="28"/>
          <w:szCs w:val="28"/>
        </w:rPr>
        <w:t xml:space="preserve">                         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C632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DC6322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275B54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275B54">
        <w:rPr>
          <w:bCs/>
          <w:sz w:val="28"/>
          <w:szCs w:val="28"/>
        </w:rPr>
        <w:t xml:space="preserve">Великорусского сельского поселения </w:t>
      </w:r>
      <w:r w:rsidRPr="002E5858">
        <w:rPr>
          <w:bCs/>
          <w:sz w:val="28"/>
          <w:szCs w:val="28"/>
        </w:rPr>
        <w:t xml:space="preserve">Калачинского муниципального района Омской области </w:t>
      </w:r>
      <w:proofErr w:type="gramEnd"/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ПОСТАНОВЛЯЕТ: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 w:rsidR="00353222">
        <w:rPr>
          <w:bCs/>
          <w:sz w:val="28"/>
          <w:szCs w:val="28"/>
        </w:rPr>
        <w:t>5</w:t>
      </w:r>
      <w:r w:rsidRPr="00B80CA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1E11B8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 xml:space="preserve">2. Опубликовать настоящее постановление в газете «Великорусский муниципальный вестник» и разместить на официальном портале Правительства Омской области </w:t>
      </w:r>
      <w:hyperlink r:id="rId9" w:history="1">
        <w:r w:rsidR="001E11B8" w:rsidRPr="00C524EC">
          <w:rPr>
            <w:rStyle w:val="ac"/>
            <w:bCs/>
            <w:sz w:val="28"/>
            <w:szCs w:val="28"/>
          </w:rPr>
          <w:t>https://velikorusskogo-r52.gosweb.gosuslugi.ru/deyatelnost/napravleniya-deyatelnosti/npa/2024-god/postanovleniya-administratsii/</w:t>
        </w:r>
      </w:hyperlink>
      <w:r w:rsidR="001E11B8">
        <w:rPr>
          <w:bCs/>
          <w:sz w:val="28"/>
          <w:szCs w:val="28"/>
        </w:rPr>
        <w:t>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</w:t>
      </w:r>
      <w:r w:rsidRPr="00B80CAA">
        <w:rPr>
          <w:bCs/>
          <w:sz w:val="28"/>
          <w:szCs w:val="28"/>
        </w:rPr>
        <w:t xml:space="preserve">3. </w:t>
      </w:r>
      <w:proofErr w:type="gramStart"/>
      <w:r w:rsidRPr="00B80CAA">
        <w:rPr>
          <w:bCs/>
          <w:sz w:val="28"/>
          <w:szCs w:val="28"/>
        </w:rPr>
        <w:t>Контроль за</w:t>
      </w:r>
      <w:proofErr w:type="gramEnd"/>
      <w:r w:rsidRPr="00B80CA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Глава Великорусского сельского поселения                          С.А. Бичун</w:t>
      </w:r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DC6322">
          <w:headerReference w:type="even" r:id="rId10"/>
          <w:headerReference w:type="default" r:id="rId11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B80CAA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  <w:r w:rsidR="00A54FE6"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6037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B80CA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353222">
        <w:rPr>
          <w:sz w:val="28"/>
          <w:szCs w:val="28"/>
        </w:rPr>
        <w:t>4</w:t>
      </w:r>
      <w:r>
        <w:rPr>
          <w:sz w:val="28"/>
          <w:szCs w:val="28"/>
        </w:rPr>
        <w:t xml:space="preserve"> № -</w:t>
      </w:r>
      <w:r w:rsidR="00353222">
        <w:rPr>
          <w:sz w:val="28"/>
          <w:szCs w:val="28"/>
        </w:rPr>
        <w:t>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C6322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DC6322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 w:rsidR="008C5407">
        <w:rPr>
          <w:sz w:val="28"/>
          <w:szCs w:val="28"/>
        </w:rPr>
        <w:t xml:space="preserve">на </w:t>
      </w:r>
      <w:r w:rsidR="00057FE1">
        <w:rPr>
          <w:sz w:val="28"/>
          <w:szCs w:val="28"/>
        </w:rPr>
        <w:t>20</w:t>
      </w:r>
      <w:r w:rsidRPr="00BE36C1">
        <w:rPr>
          <w:sz w:val="28"/>
          <w:szCs w:val="28"/>
        </w:rPr>
        <w:t>2</w:t>
      </w:r>
      <w:r w:rsidR="00353222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3532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</w:t>
            </w:r>
            <w:r w:rsidR="00BF576E" w:rsidRPr="00BF576E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 w:rsidR="008C5407">
              <w:rPr>
                <w:bCs/>
                <w:sz w:val="28"/>
                <w:szCs w:val="28"/>
              </w:rPr>
              <w:t xml:space="preserve">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C25BA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 w:rsidR="00DC6322"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 w:rsidR="00DC6322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 w:rsidR="00DC6322"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DC6322">
              <w:rPr>
                <w:bCs/>
                <w:sz w:val="28"/>
                <w:szCs w:val="28"/>
              </w:rPr>
              <w:t xml:space="preserve">      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DC6322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C6322">
              <w:rPr>
                <w:bCs/>
                <w:sz w:val="28"/>
                <w:szCs w:val="28"/>
              </w:rPr>
              <w:t>»</w:t>
            </w:r>
            <w:r w:rsidR="00C25BA8">
              <w:rPr>
                <w:bCs/>
                <w:sz w:val="28"/>
                <w:szCs w:val="28"/>
              </w:rPr>
              <w:t xml:space="preserve">, </w:t>
            </w:r>
            <w:r w:rsidR="00C25BA8" w:rsidRPr="00C25BA8">
              <w:rPr>
                <w:bCs/>
                <w:sz w:val="28"/>
                <w:szCs w:val="28"/>
              </w:rPr>
              <w:t xml:space="preserve">решение Совета </w:t>
            </w:r>
            <w:r w:rsidR="00C25BA8">
              <w:rPr>
                <w:bCs/>
                <w:sz w:val="28"/>
                <w:szCs w:val="28"/>
              </w:rPr>
              <w:t>Великорусского сельского поселения от 27</w:t>
            </w:r>
            <w:r w:rsidR="00C25BA8" w:rsidRPr="00C25BA8">
              <w:rPr>
                <w:bCs/>
                <w:sz w:val="28"/>
                <w:szCs w:val="28"/>
              </w:rPr>
              <w:t xml:space="preserve">.10.2021 № </w:t>
            </w:r>
            <w:r w:rsidR="00C25BA8">
              <w:rPr>
                <w:bCs/>
                <w:sz w:val="28"/>
                <w:szCs w:val="28"/>
              </w:rPr>
              <w:t>29</w:t>
            </w:r>
            <w:r w:rsidR="00C25BA8" w:rsidRPr="00C25BA8">
              <w:rPr>
                <w:bCs/>
                <w:sz w:val="28"/>
                <w:szCs w:val="28"/>
              </w:rPr>
              <w:t xml:space="preserve"> «Об утверждении Положения о муниципальном контроле в сфере благоустройства</w:t>
            </w:r>
            <w:proofErr w:type="gramEnd"/>
            <w:r w:rsidR="00C25BA8" w:rsidRPr="00C25BA8">
              <w:rPr>
                <w:bCs/>
                <w:sz w:val="28"/>
                <w:szCs w:val="28"/>
              </w:rPr>
              <w:t xml:space="preserve"> на территории </w:t>
            </w:r>
            <w:r w:rsidR="00C25BA8">
              <w:rPr>
                <w:bCs/>
                <w:sz w:val="28"/>
                <w:szCs w:val="28"/>
              </w:rPr>
              <w:t>Великорусского</w:t>
            </w:r>
            <w:r w:rsidR="00C25BA8" w:rsidRPr="00C25BA8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 Омской области»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B80CAA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 xml:space="preserve">поселения Калачинского района </w:t>
            </w:r>
            <w:r w:rsidR="00BF576E" w:rsidRPr="00BF576E">
              <w:rPr>
                <w:bCs/>
                <w:sz w:val="28"/>
                <w:szCs w:val="28"/>
              </w:rPr>
              <w:lastRenderedPageBreak/>
              <w:t>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B80CAA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3532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B80CAA">
        <w:rPr>
          <w:sz w:val="28"/>
          <w:szCs w:val="28"/>
        </w:rPr>
        <w:t>Великорусского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                              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B80CAA">
        <w:rPr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B80CAA">
        <w:rPr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Кодекс Российской Федерации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02.05.2006 № 59-ФЗ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порядке рассмотрения обращений граждан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;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 xml:space="preserve">Федеральный закон от 31.07.2020 № 248-ФЗ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Закон Омской области от 24.07.2006 № 770-ОЗ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Кодекс Омской области 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Калачинского городского поселения от 14 декабря 2017 года № 49-РС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утверждении Правил благоустройства, обеспечения чистоты и порядка на территории Калачинского городского поселения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B80CAA">
        <w:rPr>
          <w:rFonts w:cs="Calibri"/>
          <w:sz w:val="28"/>
          <w:szCs w:val="28"/>
        </w:rPr>
        <w:t>сельског</w:t>
      </w:r>
      <w:r w:rsidRPr="009A0A7A">
        <w:rPr>
          <w:rFonts w:cs="Calibri"/>
          <w:sz w:val="28"/>
          <w:szCs w:val="28"/>
        </w:rPr>
        <w:t xml:space="preserve">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 w:rsidR="00DC6322"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930C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353222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42582" w:rsidRPr="009A0A7A" w:rsidRDefault="00B4258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13566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стимулирование добросовестного соблюдения обязательных </w:t>
      </w:r>
      <w:r w:rsidRPr="00DC6322">
        <w:rPr>
          <w:rFonts w:cs="Calibri"/>
          <w:sz w:val="28"/>
          <w:szCs w:val="28"/>
        </w:rPr>
        <w:lastRenderedPageBreak/>
        <w:t>требований всеми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DC6322"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</w:t>
      </w:r>
      <w:r w:rsidR="0057565A" w:rsidRPr="00DC6322">
        <w:rPr>
          <w:rFonts w:cs="Calibri"/>
          <w:sz w:val="28"/>
          <w:szCs w:val="28"/>
        </w:rPr>
        <w:t xml:space="preserve">ениям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</w:t>
      </w:r>
      <w:r w:rsidR="0057565A" w:rsidRPr="00DC6322">
        <w:rPr>
          <w:rFonts w:cs="Calibri"/>
          <w:sz w:val="28"/>
          <w:szCs w:val="28"/>
        </w:rPr>
        <w:t xml:space="preserve">и (или) </w:t>
      </w:r>
      <w:r w:rsidRPr="00DC6322">
        <w:rPr>
          <w:rFonts w:cs="Calibri"/>
          <w:sz w:val="28"/>
          <w:szCs w:val="28"/>
        </w:rPr>
        <w:t>причинению вреда (ущерба);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>до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DC6322">
        <w:rPr>
          <w:rFonts w:cs="Calibri"/>
          <w:sz w:val="28"/>
          <w:szCs w:val="28"/>
        </w:rPr>
        <w:t xml:space="preserve">пособах </w:t>
      </w:r>
      <w:r w:rsidR="00DC6322">
        <w:rPr>
          <w:rFonts w:cs="Calibri"/>
          <w:sz w:val="28"/>
          <w:szCs w:val="28"/>
        </w:rPr>
        <w:t xml:space="preserve">                          </w:t>
      </w:r>
      <w:r w:rsidR="0057565A" w:rsidRPr="00DC6322">
        <w:rPr>
          <w:rFonts w:cs="Calibri"/>
          <w:sz w:val="28"/>
          <w:szCs w:val="28"/>
        </w:rPr>
        <w:t xml:space="preserve">их </w:t>
      </w:r>
      <w:r w:rsidRPr="00DC6322">
        <w:rPr>
          <w:rFonts w:cs="Calibri"/>
          <w:sz w:val="28"/>
          <w:szCs w:val="28"/>
        </w:rPr>
        <w:t>соблюдения.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DC6322" w:rsidRDefault="0057565A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</w:t>
      </w:r>
      <w:r w:rsidR="00580E23" w:rsidRPr="00DC6322">
        <w:rPr>
          <w:rFonts w:cs="Calibri"/>
          <w:sz w:val="28"/>
          <w:szCs w:val="28"/>
        </w:rPr>
        <w:t>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DC6322"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реализации;</w:t>
      </w:r>
    </w:p>
    <w:p w:rsidR="00B80CAA" w:rsidRPr="00B80CAA" w:rsidRDefault="00580E23" w:rsidP="00B80CAA">
      <w:pPr>
        <w:rPr>
          <w:rFonts w:eastAsiaTheme="minorHAnsi"/>
          <w:sz w:val="28"/>
          <w:szCs w:val="28"/>
          <w:lang w:eastAsia="en-US"/>
        </w:rPr>
      </w:pPr>
      <w:r w:rsidRPr="00DC6322">
        <w:rPr>
          <w:rFonts w:cs="Calibri"/>
          <w:sz w:val="28"/>
          <w:szCs w:val="28"/>
        </w:rPr>
        <w:t>поддержание в актуальном</w:t>
      </w:r>
      <w:r w:rsidR="0057565A" w:rsidRPr="00DC6322">
        <w:rPr>
          <w:rFonts w:cs="Calibri"/>
          <w:sz w:val="28"/>
          <w:szCs w:val="28"/>
        </w:rPr>
        <w:t xml:space="preserve"> состоянии на официальном </w:t>
      </w:r>
      <w:r w:rsidR="0057565A" w:rsidRPr="00B80CAA">
        <w:rPr>
          <w:rFonts w:cs="Calibri"/>
          <w:color w:val="000000" w:themeColor="text1"/>
          <w:sz w:val="28"/>
          <w:szCs w:val="28"/>
        </w:rPr>
        <w:t>портале Правительства Омской области</w:t>
      </w:r>
      <w:r w:rsidR="0057565A" w:rsidRPr="0078073F">
        <w:rPr>
          <w:rFonts w:cs="Calibri"/>
          <w:color w:val="FF0000"/>
          <w:sz w:val="28"/>
          <w:szCs w:val="28"/>
        </w:rPr>
        <w:t xml:space="preserve"> </w:t>
      </w:r>
      <w:r w:rsidR="00B80CAA" w:rsidRPr="00B80CAA">
        <w:rPr>
          <w:rFonts w:eastAsiaTheme="minorHAnsi"/>
          <w:sz w:val="28"/>
          <w:szCs w:val="28"/>
          <w:lang w:eastAsia="en-US"/>
        </w:rPr>
        <w:t>http://vlkr.kalach.omskportal.ru/omsu/kalach-3-52-218-1/poseleniya/velikorusskoe</w:t>
      </w:r>
    </w:p>
    <w:p w:rsidR="00580E23" w:rsidRPr="00DC6322" w:rsidRDefault="00B80CAA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 </w:t>
      </w:r>
      <w:r w:rsidR="00C10D26" w:rsidRPr="00DC6322">
        <w:rPr>
          <w:rFonts w:cs="Calibri"/>
          <w:sz w:val="28"/>
          <w:szCs w:val="28"/>
        </w:rPr>
        <w:t>(далее – официальный сайт)</w:t>
      </w:r>
      <w:r w:rsidR="00580E23" w:rsidRPr="00DC6322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 xml:space="preserve">предметом </w:t>
      </w:r>
      <w:r w:rsidR="0057565A" w:rsidRPr="00DC6322">
        <w:rPr>
          <w:rFonts w:cs="Calibri"/>
          <w:sz w:val="28"/>
          <w:szCs w:val="28"/>
        </w:rPr>
        <w:t>муниципального контроля</w:t>
      </w:r>
      <w:r w:rsidR="00580E23" w:rsidRPr="00DC6322">
        <w:rPr>
          <w:rFonts w:cs="Calibri"/>
          <w:sz w:val="28"/>
          <w:szCs w:val="28"/>
        </w:rPr>
        <w:t>, с целью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353222">
        <w:rPr>
          <w:sz w:val="28"/>
          <w:szCs w:val="28"/>
        </w:rPr>
        <w:t>5</w:t>
      </w:r>
      <w:r w:rsidR="00C10D26" w:rsidRPr="00C10D26">
        <w:rPr>
          <w:sz w:val="28"/>
          <w:szCs w:val="28"/>
        </w:rPr>
        <w:t>год</w:t>
      </w:r>
    </w:p>
    <w:p w:rsidR="00921F18" w:rsidRPr="001600E6" w:rsidRDefault="00921F18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AD5642" w:rsidRPr="001600E6" w:rsidTr="003E222A">
        <w:trPr>
          <w:tblHeader/>
        </w:trPr>
        <w:tc>
          <w:tcPr>
            <w:tcW w:w="542" w:type="dxa"/>
          </w:tcPr>
          <w:p w:rsidR="00AD5642" w:rsidRPr="00DC6322" w:rsidRDefault="00AD5642" w:rsidP="003E222A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тексты нормативных правовых актов, </w:t>
            </w:r>
            <w:r w:rsidRPr="00DC6322">
              <w:rPr>
                <w:sz w:val="28"/>
                <w:szCs w:val="28"/>
              </w:rPr>
              <w:lastRenderedPageBreak/>
              <w:t>регулирующих</w:t>
            </w:r>
            <w:r w:rsidR="00C40D6E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осуществление </w:t>
            </w:r>
            <w:r w:rsidR="00D0018A" w:rsidRPr="00DC6322">
              <w:rPr>
                <w:sz w:val="28"/>
                <w:szCs w:val="28"/>
              </w:rPr>
              <w:t xml:space="preserve">муниципального </w:t>
            </w:r>
            <w:r w:rsidRPr="00DC6322">
              <w:rPr>
                <w:sz w:val="28"/>
                <w:szCs w:val="28"/>
              </w:rPr>
              <w:t>контроля;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="00C40D6E"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ченные</w:t>
            </w:r>
            <w:proofErr w:type="spellEnd"/>
            <w:r w:rsidR="00C40D6E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40D6E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</w:t>
            </w:r>
            <w:r w:rsidR="00D0018A" w:rsidRPr="00DC6322">
              <w:rPr>
                <w:sz w:val="28"/>
                <w:szCs w:val="28"/>
              </w:rPr>
              <w:t xml:space="preserve"> нормативных правовых </w:t>
            </w:r>
            <w:r w:rsidR="00D0018A" w:rsidRPr="00DC6322">
              <w:rPr>
                <w:sz w:val="28"/>
                <w:szCs w:val="28"/>
              </w:rPr>
              <w:lastRenderedPageBreak/>
              <w:t xml:space="preserve">актов РФ, </w:t>
            </w:r>
            <w:r w:rsidRPr="00DC6322">
              <w:rPr>
                <w:sz w:val="28"/>
                <w:szCs w:val="28"/>
              </w:rPr>
              <w:t>содержащих обязательные</w:t>
            </w:r>
            <w:r w:rsidR="00D0018A" w:rsidRPr="00DC6322">
              <w:rPr>
                <w:sz w:val="28"/>
                <w:szCs w:val="28"/>
              </w:rPr>
              <w:t xml:space="preserve"> требования, соблюдения которых </w:t>
            </w:r>
            <w:r w:rsidRPr="00DC6322">
              <w:rPr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3E222A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 w:rsidR="003E22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 w:rsidR="003E222A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графиком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AD5642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AD5642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353222">
              <w:rPr>
                <w:sz w:val="28"/>
                <w:szCs w:val="28"/>
              </w:rPr>
              <w:t>6</w:t>
            </w:r>
          </w:p>
          <w:p w:rsidR="00AD5642" w:rsidRPr="00DC6322" w:rsidRDefault="000343BF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</w:t>
            </w:r>
            <w:r w:rsidR="00AD5642" w:rsidRPr="00DC6322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контроля и размещение </w:t>
            </w:r>
            <w:r w:rsidR="00034749" w:rsidRPr="00DC6322">
              <w:rPr>
                <w:sz w:val="28"/>
                <w:szCs w:val="28"/>
              </w:rPr>
              <w:t xml:space="preserve">на официальном сайте </w:t>
            </w:r>
            <w:r w:rsidRPr="00DC6322">
              <w:rPr>
                <w:sz w:val="28"/>
                <w:szCs w:val="28"/>
              </w:rPr>
              <w:t xml:space="preserve">в сети Интернет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DC6322">
              <w:rPr>
                <w:sz w:val="28"/>
                <w:szCs w:val="28"/>
              </w:rPr>
              <w:lastRenderedPageBreak/>
              <w:t>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1 раз в </w:t>
            </w:r>
            <w:r w:rsidR="000343BF" w:rsidRPr="00DC6322">
              <w:rPr>
                <w:sz w:val="28"/>
                <w:szCs w:val="28"/>
              </w:rPr>
              <w:t>пол</w:t>
            </w:r>
            <w:r w:rsidR="00034749" w:rsidRPr="00DC6322">
              <w:rPr>
                <w:sz w:val="28"/>
                <w:szCs w:val="28"/>
              </w:rPr>
              <w:t xml:space="preserve">года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749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749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749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749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AD5642" w:rsidRPr="00DC6322" w:rsidRDefault="00034749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AD5642" w:rsidRPr="00DC6322" w:rsidRDefault="003E222A" w:rsidP="0035322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43BF" w:rsidRPr="00DC6322">
              <w:rPr>
                <w:sz w:val="28"/>
                <w:szCs w:val="28"/>
              </w:rPr>
              <w:t>о 14.02.202</w:t>
            </w:r>
            <w:r w:rsidR="0035322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r w:rsidR="000343BF" w:rsidRPr="00DC6322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</w:t>
            </w:r>
            <w:r w:rsidR="00F3426E" w:rsidRPr="00DC6322">
              <w:rPr>
                <w:sz w:val="28"/>
                <w:szCs w:val="28"/>
              </w:rPr>
              <w:t>4</w:t>
            </w:r>
            <w:r w:rsidR="000343BF"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4749" w:rsidRPr="00DC6322">
              <w:rPr>
                <w:sz w:val="28"/>
                <w:szCs w:val="28"/>
              </w:rPr>
              <w:t>ентябрь</w:t>
            </w:r>
            <w:r w:rsidR="00AD5642"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5322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 w:rsidR="003E222A"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660F2" w:rsidRDefault="00D660F2" w:rsidP="00DC6322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3E222A" w:rsidRDefault="008F7FEF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3E222A"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</w:t>
      </w:r>
      <w:r w:rsidR="00214E1A" w:rsidRPr="003E222A">
        <w:rPr>
          <w:sz w:val="28"/>
          <w:szCs w:val="28"/>
        </w:rPr>
        <w:t>;</w:t>
      </w:r>
    </w:p>
    <w:p w:rsidR="00214E1A" w:rsidRPr="003E222A" w:rsidRDefault="00214E1A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</w:t>
      </w:r>
      <w:r w:rsidR="008F7FEF" w:rsidRPr="003E222A">
        <w:rPr>
          <w:sz w:val="28"/>
          <w:szCs w:val="28"/>
        </w:rPr>
        <w:t xml:space="preserve">й по применению </w:t>
      </w:r>
      <w:r w:rsidR="007D24FC" w:rsidRPr="003E222A">
        <w:rPr>
          <w:sz w:val="28"/>
          <w:szCs w:val="28"/>
        </w:rPr>
        <w:t>обязательных требований,</w:t>
      </w:r>
      <w:r w:rsidR="008F7FEF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2E5858" w:rsidRPr="00135665" w:rsidTr="003E222A">
        <w:trPr>
          <w:trHeight w:val="606"/>
        </w:trPr>
        <w:tc>
          <w:tcPr>
            <w:tcW w:w="54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135665" w:rsidRDefault="002E5858" w:rsidP="00353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Период 202</w:t>
            </w:r>
            <w:r w:rsidR="00353222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35665" w:rsidTr="003E222A">
        <w:tc>
          <w:tcPr>
            <w:tcW w:w="54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E5858" w:rsidRPr="00135665" w:rsidRDefault="002E5858" w:rsidP="0035322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2E5858" w:rsidRPr="00135665" w:rsidRDefault="002E5858" w:rsidP="0035322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7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C25BA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C25BA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C25BA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C25B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C25BA8">
              <w:rPr>
                <w:sz w:val="28"/>
                <w:szCs w:val="28"/>
              </w:rPr>
              <w:t>2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2</w:t>
            </w:r>
            <w:r w:rsidR="00C25BA8">
              <w:rPr>
                <w:sz w:val="28"/>
                <w:szCs w:val="28"/>
              </w:rPr>
              <w:t>2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2E5858" w:rsidP="00C25BA8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</w:t>
            </w:r>
            <w:r w:rsidR="00C25BA8">
              <w:rPr>
                <w:sz w:val="28"/>
                <w:szCs w:val="28"/>
              </w:rPr>
              <w:t>4</w:t>
            </w:r>
            <w:r w:rsidRPr="00135665">
              <w:rPr>
                <w:sz w:val="28"/>
                <w:szCs w:val="28"/>
              </w:rPr>
              <w:t>%</w:t>
            </w:r>
          </w:p>
        </w:tc>
      </w:tr>
    </w:tbl>
    <w:p w:rsidR="00987606" w:rsidRDefault="00987606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071254" w:rsidRDefault="00071254" w:rsidP="00DC6322">
      <w:pPr>
        <w:autoSpaceDE w:val="0"/>
        <w:autoSpaceDN w:val="0"/>
        <w:ind w:firstLine="708"/>
        <w:jc w:val="center"/>
        <w:rPr>
          <w:sz w:val="28"/>
          <w:szCs w:val="28"/>
        </w:rPr>
      </w:pPr>
    </w:p>
    <w:sectPr w:rsidR="00071254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0F" w:rsidRDefault="00D12C0F" w:rsidP="00CD7D0A">
      <w:r>
        <w:separator/>
      </w:r>
    </w:p>
  </w:endnote>
  <w:endnote w:type="continuationSeparator" w:id="0">
    <w:p w:rsidR="00D12C0F" w:rsidRDefault="00D12C0F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0F" w:rsidRDefault="00D12C0F" w:rsidP="00CD7D0A">
      <w:r>
        <w:separator/>
      </w:r>
    </w:p>
  </w:footnote>
  <w:footnote w:type="continuationSeparator" w:id="0">
    <w:p w:rsidR="00D12C0F" w:rsidRDefault="00D12C0F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1B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476CC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D1955"/>
    <w:rsid w:val="000D52BD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B3F27"/>
    <w:rsid w:val="001C4C44"/>
    <w:rsid w:val="001D1D25"/>
    <w:rsid w:val="001D46BC"/>
    <w:rsid w:val="001D67FB"/>
    <w:rsid w:val="001E11B8"/>
    <w:rsid w:val="001E2C70"/>
    <w:rsid w:val="001E2E51"/>
    <w:rsid w:val="001E33B7"/>
    <w:rsid w:val="001E76A1"/>
    <w:rsid w:val="001F1287"/>
    <w:rsid w:val="00205F92"/>
    <w:rsid w:val="00214E1A"/>
    <w:rsid w:val="002157E7"/>
    <w:rsid w:val="0023022C"/>
    <w:rsid w:val="00233262"/>
    <w:rsid w:val="00246846"/>
    <w:rsid w:val="002516D5"/>
    <w:rsid w:val="00275B54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53222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513BE"/>
    <w:rsid w:val="006614CA"/>
    <w:rsid w:val="00674216"/>
    <w:rsid w:val="00674BB1"/>
    <w:rsid w:val="00677989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643B5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E629B"/>
    <w:rsid w:val="009F103B"/>
    <w:rsid w:val="009F4F5C"/>
    <w:rsid w:val="009F7C6E"/>
    <w:rsid w:val="00A02D50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80CA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25BA8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2C0F"/>
    <w:rsid w:val="00D17772"/>
    <w:rsid w:val="00D20119"/>
    <w:rsid w:val="00D25D17"/>
    <w:rsid w:val="00D656E2"/>
    <w:rsid w:val="00D660F2"/>
    <w:rsid w:val="00D806B0"/>
    <w:rsid w:val="00DA0FC1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A0EFF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postanovl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AF32-4A84-458D-853F-3EE96437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17</cp:revision>
  <cp:lastPrinted>2022-11-02T09:45:00Z</cp:lastPrinted>
  <dcterms:created xsi:type="dcterms:W3CDTF">2023-07-11T10:44:00Z</dcterms:created>
  <dcterms:modified xsi:type="dcterms:W3CDTF">2024-10-11T09:16:00Z</dcterms:modified>
</cp:coreProperties>
</file>