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742078" w:rsidRDefault="002429F0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D0F3A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CD0F3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="005966BD">
        <w:rPr>
          <w:b/>
          <w:sz w:val="28"/>
          <w:szCs w:val="28"/>
        </w:rPr>
        <w:t>АДМИНИСТРАЦИЯ</w:t>
      </w:r>
      <w:r w:rsidR="00B759A5">
        <w:rPr>
          <w:b/>
          <w:sz w:val="28"/>
          <w:szCs w:val="28"/>
        </w:rPr>
        <w:t xml:space="preserve"> ВЕЛИКОРУССКОГО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147414" w:rsidRDefault="00147414" w:rsidP="002429F0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C20C58">
        <w:rPr>
          <w:sz w:val="28"/>
          <w:szCs w:val="28"/>
        </w:rPr>
        <w:t>.</w:t>
      </w:r>
      <w:r w:rsidR="00CD0F3A">
        <w:rPr>
          <w:sz w:val="28"/>
          <w:szCs w:val="28"/>
        </w:rPr>
        <w:t>00</w:t>
      </w:r>
      <w:r w:rsidR="00C20C58">
        <w:rPr>
          <w:sz w:val="28"/>
          <w:szCs w:val="28"/>
        </w:rPr>
        <w:t>.</w:t>
      </w:r>
      <w:r w:rsidR="00CD7D0A">
        <w:rPr>
          <w:sz w:val="28"/>
          <w:szCs w:val="28"/>
        </w:rPr>
        <w:t>202</w:t>
      </w:r>
      <w:r w:rsidR="00FC3759">
        <w:rPr>
          <w:sz w:val="28"/>
          <w:szCs w:val="28"/>
        </w:rPr>
        <w:t>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</w:t>
      </w:r>
      <w:r w:rsidR="001A0103">
        <w:rPr>
          <w:sz w:val="28"/>
          <w:szCs w:val="28"/>
        </w:rPr>
        <w:t xml:space="preserve">           </w:t>
      </w:r>
      <w:r w:rsidR="00D806B0" w:rsidRPr="00742078">
        <w:rPr>
          <w:sz w:val="28"/>
          <w:szCs w:val="28"/>
        </w:rPr>
        <w:t xml:space="preserve">   № </w:t>
      </w:r>
      <w:r>
        <w:rPr>
          <w:sz w:val="28"/>
          <w:szCs w:val="28"/>
        </w:rPr>
        <w:t>00-ПА</w:t>
      </w:r>
    </w:p>
    <w:p w:rsidR="00D806B0" w:rsidRPr="00742078" w:rsidRDefault="002429F0" w:rsidP="002429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9F0">
        <w:rPr>
          <w:sz w:val="28"/>
          <w:szCs w:val="28"/>
        </w:rPr>
        <w:t>с. Великорусское</w:t>
      </w:r>
    </w:p>
    <w:p w:rsidR="002429F0" w:rsidRDefault="002429F0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B759A5">
        <w:rPr>
          <w:bCs/>
          <w:sz w:val="28"/>
          <w:szCs w:val="28"/>
        </w:rPr>
        <w:t>Великорусского сельского</w:t>
      </w:r>
      <w:r w:rsidR="00674BB1"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FC3759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625C48">
        <w:rPr>
          <w:bCs/>
          <w:sz w:val="28"/>
          <w:szCs w:val="28"/>
        </w:rPr>
        <w:t>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B759A5">
        <w:rPr>
          <w:bCs/>
          <w:sz w:val="28"/>
          <w:szCs w:val="28"/>
        </w:rPr>
        <w:t>Великорусского сельского</w:t>
      </w:r>
      <w:r w:rsidR="00B759A5" w:rsidRPr="00674BB1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 xml:space="preserve">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Pr="002E5858" w:rsidRDefault="002E5858" w:rsidP="00CF6EE4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759A5" w:rsidRPr="00B759A5">
        <w:rPr>
          <w:bCs/>
          <w:sz w:val="28"/>
          <w:szCs w:val="28"/>
        </w:rPr>
        <w:t xml:space="preserve">Великорусского сельского </w:t>
      </w:r>
      <w:r w:rsidR="00384D05" w:rsidRPr="00384D05">
        <w:rPr>
          <w:bCs/>
          <w:sz w:val="28"/>
          <w:szCs w:val="28"/>
        </w:rPr>
        <w:t>поселения Калачинского района Омской области 202</w:t>
      </w:r>
      <w:r w:rsidR="00FC3759">
        <w:rPr>
          <w:bCs/>
          <w:sz w:val="28"/>
          <w:szCs w:val="28"/>
        </w:rPr>
        <w:t>5</w:t>
      </w:r>
      <w:r w:rsidR="00384D05"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4D263B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2E5858">
        <w:rPr>
          <w:bCs/>
          <w:sz w:val="28"/>
          <w:szCs w:val="28"/>
        </w:rPr>
        <w:t xml:space="preserve">в газете </w:t>
      </w:r>
      <w:r w:rsidR="00B759A5">
        <w:rPr>
          <w:bCs/>
          <w:sz w:val="28"/>
          <w:szCs w:val="28"/>
        </w:rPr>
        <w:t>«Великорусский муниципальный вестник»</w:t>
      </w:r>
      <w:r w:rsidRPr="002E5858">
        <w:rPr>
          <w:bCs/>
          <w:sz w:val="28"/>
          <w:szCs w:val="28"/>
        </w:rPr>
        <w:t xml:space="preserve"> и разместить на официальном портале Правительства Омской обла</w:t>
      </w:r>
      <w:r>
        <w:rPr>
          <w:bCs/>
          <w:sz w:val="28"/>
          <w:szCs w:val="28"/>
        </w:rPr>
        <w:t xml:space="preserve">сти </w:t>
      </w:r>
      <w:hyperlink r:id="rId9" w:history="1">
        <w:r w:rsidR="004D263B" w:rsidRPr="00C524EC">
          <w:rPr>
            <w:rStyle w:val="ac"/>
          </w:rPr>
          <w:t>https://velikorusskogo-r52.gosweb.gosuslugi.ru/deyatelnost/napravleniya-deyatelnosti/npa/2024-god/postanovleniya-administratsii/</w:t>
        </w:r>
      </w:hyperlink>
    </w:p>
    <w:p w:rsidR="00CD7D0A" w:rsidRPr="00CD7D0A" w:rsidRDefault="002E5858" w:rsidP="002E585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B759A5">
      <w:pPr>
        <w:tabs>
          <w:tab w:val="left" w:pos="0"/>
          <w:tab w:val="left" w:pos="6987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Великорусского сельского поселения</w:t>
      </w:r>
      <w:r w:rsidR="00B759A5">
        <w:rPr>
          <w:bCs/>
          <w:sz w:val="28"/>
          <w:szCs w:val="28"/>
        </w:rPr>
        <w:tab/>
        <w:t>С.А.</w:t>
      </w:r>
      <w:r w:rsidR="002429F0">
        <w:rPr>
          <w:bCs/>
          <w:sz w:val="28"/>
          <w:szCs w:val="28"/>
        </w:rPr>
        <w:t xml:space="preserve"> </w:t>
      </w:r>
      <w:r w:rsidR="00B759A5">
        <w:rPr>
          <w:bCs/>
          <w:sz w:val="28"/>
          <w:szCs w:val="28"/>
        </w:rPr>
        <w:t>Бичун</w:t>
      </w: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10"/>
          <w:headerReference w:type="default" r:id="rId11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59A5" w:rsidRDefault="00B759A5" w:rsidP="00A54FE6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Великорусского сельского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860355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47414">
        <w:rPr>
          <w:sz w:val="28"/>
          <w:szCs w:val="28"/>
        </w:rPr>
        <w:t>0</w:t>
      </w:r>
      <w:r w:rsidR="002429F0">
        <w:rPr>
          <w:sz w:val="28"/>
          <w:szCs w:val="28"/>
        </w:rPr>
        <w:t>.</w:t>
      </w:r>
      <w:r w:rsidR="001A0103">
        <w:rPr>
          <w:sz w:val="28"/>
          <w:szCs w:val="28"/>
        </w:rPr>
        <w:t>11</w:t>
      </w:r>
      <w:r w:rsidR="00A54FE6">
        <w:rPr>
          <w:sz w:val="28"/>
          <w:szCs w:val="28"/>
        </w:rPr>
        <w:t>.202</w:t>
      </w:r>
      <w:r w:rsidR="00FC3759">
        <w:rPr>
          <w:sz w:val="28"/>
          <w:szCs w:val="28"/>
        </w:rPr>
        <w:t>4</w:t>
      </w:r>
      <w:r w:rsidR="00A54FE6">
        <w:rPr>
          <w:sz w:val="28"/>
          <w:szCs w:val="28"/>
        </w:rPr>
        <w:t>№</w:t>
      </w:r>
      <w:r w:rsidR="00147414">
        <w:rPr>
          <w:sz w:val="28"/>
          <w:szCs w:val="28"/>
        </w:rPr>
        <w:t xml:space="preserve"> 00</w:t>
      </w:r>
      <w:r w:rsidR="002429F0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147414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границах </w:t>
      </w:r>
      <w:proofErr w:type="gramStart"/>
      <w:r w:rsidR="00D81F9D">
        <w:rPr>
          <w:sz w:val="28"/>
          <w:szCs w:val="28"/>
        </w:rPr>
        <w:t>Великорусского</w:t>
      </w:r>
      <w:proofErr w:type="gramEnd"/>
      <w:r w:rsidR="00D81F9D">
        <w:rPr>
          <w:sz w:val="28"/>
          <w:szCs w:val="28"/>
        </w:rPr>
        <w:t xml:space="preserve"> сельского</w:t>
      </w:r>
      <w:r w:rsidRPr="00384D05">
        <w:rPr>
          <w:sz w:val="28"/>
          <w:szCs w:val="28"/>
        </w:rPr>
        <w:t xml:space="preserve"> </w:t>
      </w: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FC3759">
        <w:rPr>
          <w:sz w:val="28"/>
          <w:szCs w:val="28"/>
        </w:rPr>
        <w:t>5</w:t>
      </w:r>
      <w:r w:rsidRPr="00384D05">
        <w:rPr>
          <w:sz w:val="28"/>
          <w:szCs w:val="28"/>
        </w:rPr>
        <w:t xml:space="preserve"> год</w:t>
      </w: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47414" w:rsidRPr="009F103B" w:rsidRDefault="00147414" w:rsidP="00FC37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границах Калачинского городского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FC3759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147414" w:rsidRPr="009F103B" w:rsidRDefault="00147414" w:rsidP="00172BD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  <w:r w:rsidR="00172BD9">
              <w:rPr>
                <w:bCs/>
                <w:sz w:val="28"/>
                <w:szCs w:val="28"/>
              </w:rPr>
              <w:t>,</w:t>
            </w:r>
            <w:r w:rsidR="00172BD9">
              <w:t xml:space="preserve"> </w:t>
            </w:r>
            <w:r w:rsidR="00172BD9" w:rsidRPr="00172BD9">
              <w:rPr>
                <w:sz w:val="28"/>
                <w:szCs w:val="28"/>
              </w:rPr>
              <w:t>Решение Совета Великорусского сельского</w:t>
            </w:r>
            <w:r w:rsidR="00172BD9">
              <w:t xml:space="preserve"> </w:t>
            </w:r>
            <w:r w:rsidR="00172BD9" w:rsidRPr="00172BD9">
              <w:rPr>
                <w:bCs/>
                <w:sz w:val="28"/>
                <w:szCs w:val="28"/>
              </w:rPr>
              <w:t>поселения от 2</w:t>
            </w:r>
            <w:r w:rsidR="00172BD9">
              <w:rPr>
                <w:bCs/>
                <w:sz w:val="28"/>
                <w:szCs w:val="28"/>
              </w:rPr>
              <w:t>7</w:t>
            </w:r>
            <w:r w:rsidR="00172BD9" w:rsidRPr="00172BD9">
              <w:rPr>
                <w:bCs/>
                <w:sz w:val="28"/>
                <w:szCs w:val="28"/>
              </w:rPr>
              <w:t xml:space="preserve">.10.2021 № </w:t>
            </w:r>
            <w:r w:rsidR="00172BD9">
              <w:rPr>
                <w:bCs/>
                <w:sz w:val="28"/>
                <w:szCs w:val="28"/>
              </w:rPr>
              <w:t>28</w:t>
            </w:r>
            <w:r w:rsidR="00172BD9" w:rsidRPr="00172BD9">
              <w:rPr>
                <w:bCs/>
                <w:sz w:val="28"/>
                <w:szCs w:val="28"/>
              </w:rPr>
              <w:t xml:space="preserve"> «Об утверждении Положения о муниципальном контроле на автомобильном транспорте</w:t>
            </w:r>
            <w:proofErr w:type="gramEnd"/>
            <w:r w:rsidR="00172BD9" w:rsidRPr="00172BD9">
              <w:rPr>
                <w:bCs/>
                <w:sz w:val="28"/>
                <w:szCs w:val="28"/>
              </w:rPr>
              <w:t xml:space="preserve">, городском наземном электрическом </w:t>
            </w:r>
            <w:proofErr w:type="gramStart"/>
            <w:r w:rsidR="00172BD9" w:rsidRPr="00172BD9">
              <w:rPr>
                <w:bCs/>
                <w:sz w:val="28"/>
                <w:szCs w:val="28"/>
              </w:rPr>
              <w:t>транспорте</w:t>
            </w:r>
            <w:proofErr w:type="gramEnd"/>
            <w:r w:rsidR="00172BD9" w:rsidRPr="00172BD9">
              <w:rPr>
                <w:bCs/>
                <w:sz w:val="28"/>
                <w:szCs w:val="28"/>
              </w:rPr>
              <w:t xml:space="preserve"> и в дорожном хозяйстве в границах </w:t>
            </w:r>
            <w:r w:rsidR="00172BD9">
              <w:rPr>
                <w:bCs/>
                <w:sz w:val="28"/>
                <w:szCs w:val="28"/>
              </w:rPr>
              <w:t>Великорусского</w:t>
            </w:r>
            <w:r w:rsidR="00172BD9" w:rsidRPr="00172BD9">
              <w:rPr>
                <w:bCs/>
                <w:sz w:val="28"/>
                <w:szCs w:val="28"/>
              </w:rPr>
              <w:t xml:space="preserve"> сельского поселения Калачинского муниципального района </w:t>
            </w:r>
            <w:r w:rsidR="00172BD9" w:rsidRPr="00172BD9">
              <w:rPr>
                <w:bCs/>
                <w:sz w:val="28"/>
                <w:szCs w:val="28"/>
              </w:rPr>
              <w:lastRenderedPageBreak/>
              <w:t>Омской области»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47414" w:rsidRPr="009F103B" w:rsidRDefault="00147414" w:rsidP="00D81F9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D81F9D">
              <w:rPr>
                <w:bCs/>
                <w:sz w:val="28"/>
                <w:szCs w:val="28"/>
              </w:rPr>
              <w:t>Великорусского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D81F9D">
              <w:rPr>
                <w:bCs/>
                <w:sz w:val="28"/>
                <w:szCs w:val="28"/>
              </w:rPr>
              <w:t xml:space="preserve"> Великорусского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Администрация)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147414" w:rsidRPr="009F103B" w:rsidRDefault="00147414" w:rsidP="00FC37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FC3759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47414" w:rsidRPr="001600E6" w:rsidTr="009F3C1B">
        <w:tc>
          <w:tcPr>
            <w:tcW w:w="3689" w:type="dxa"/>
          </w:tcPr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147414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FC3759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147414" w:rsidRPr="009F103B" w:rsidRDefault="00147414" w:rsidP="009F3C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147414" w:rsidRPr="001600E6" w:rsidRDefault="00147414" w:rsidP="001474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47414" w:rsidRPr="001600E6" w:rsidRDefault="00147414" w:rsidP="00147414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47414" w:rsidRPr="00580E23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D81F9D">
        <w:rPr>
          <w:sz w:val="28"/>
          <w:szCs w:val="28"/>
        </w:rPr>
        <w:t>Великорусского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1F9D">
        <w:rPr>
          <w:sz w:val="28"/>
          <w:szCs w:val="28"/>
        </w:rPr>
        <w:t>Великорусского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D81F9D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81F9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06.10.2003 № 131-ФЗ «Об общих принципах </w:t>
      </w:r>
      <w:r w:rsidRPr="0047738A">
        <w:rPr>
          <w:rFonts w:cs="Calibri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47414" w:rsidRPr="0047738A" w:rsidRDefault="00147414" w:rsidP="00147414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>
        <w:rPr>
          <w:rFonts w:cs="Calibri"/>
          <w:sz w:val="28"/>
          <w:szCs w:val="28"/>
        </w:rPr>
        <w:t>городского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Pr="006030DF">
        <w:rPr>
          <w:rFonts w:cs="Calibri"/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lastRenderedPageBreak/>
        <w:t>В 202</w:t>
      </w:r>
      <w:r w:rsidR="00FC3759">
        <w:rPr>
          <w:rFonts w:cs="Calibri"/>
          <w:sz w:val="28"/>
          <w:szCs w:val="28"/>
        </w:rPr>
        <w:t>4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нормативными правовыми актами.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147414" w:rsidRPr="008D4EC8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147414" w:rsidRPr="00384D05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147414" w:rsidRDefault="00147414" w:rsidP="0014741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147414" w:rsidRDefault="00147414" w:rsidP="00147414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147414" w:rsidRPr="00580E23" w:rsidRDefault="00147414" w:rsidP="00147414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147414" w:rsidRPr="0047738A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147414" w:rsidRPr="0047738A" w:rsidRDefault="00147414" w:rsidP="0014741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147414" w:rsidRPr="004A41AA" w:rsidRDefault="00147414" w:rsidP="00D81F9D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Pr="00D81F9D">
        <w:rPr>
          <w:rFonts w:cs="Calibri"/>
          <w:sz w:val="28"/>
          <w:szCs w:val="28"/>
        </w:rPr>
        <w:t xml:space="preserve">официальном портале Правительства Омской области </w:t>
      </w:r>
      <w:r w:rsidR="00D81F9D" w:rsidRPr="00D81F9D">
        <w:rPr>
          <w:sz w:val="28"/>
          <w:szCs w:val="28"/>
        </w:rPr>
        <w:t>http://vlkr.kalach.omskportal.ru/omsu/kalach-3-52-218-1/poseleniya/velikorusskoe</w:t>
      </w:r>
      <w:r w:rsidRPr="00D81F9D">
        <w:rPr>
          <w:rFonts w:cs="Calibri"/>
          <w:color w:val="FF0000"/>
          <w:sz w:val="28"/>
          <w:szCs w:val="28"/>
        </w:rPr>
        <w:t xml:space="preserve">                                              </w:t>
      </w:r>
      <w:r w:rsidRPr="00D81F9D">
        <w:rPr>
          <w:rFonts w:cs="Calibri"/>
          <w:sz w:val="28"/>
          <w:szCs w:val="28"/>
        </w:rPr>
        <w:t xml:space="preserve">(далее – </w:t>
      </w:r>
      <w:r w:rsidRPr="00D81F9D">
        <w:rPr>
          <w:rFonts w:cs="Calibri"/>
          <w:sz w:val="28"/>
          <w:szCs w:val="28"/>
        </w:rPr>
        <w:lastRenderedPageBreak/>
        <w:t>официальный</w:t>
      </w:r>
      <w:r w:rsidRPr="004A41AA">
        <w:rPr>
          <w:rFonts w:cs="Calibri"/>
          <w:sz w:val="28"/>
          <w:szCs w:val="28"/>
        </w:rPr>
        <w:t xml:space="preserve">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147414" w:rsidRPr="004A41AA" w:rsidRDefault="00147414" w:rsidP="00147414">
      <w:pPr>
        <w:pStyle w:val="af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147414" w:rsidRPr="001600E6" w:rsidRDefault="00147414" w:rsidP="00147414">
      <w:pPr>
        <w:jc w:val="both"/>
        <w:rPr>
          <w:sz w:val="28"/>
          <w:szCs w:val="28"/>
        </w:rPr>
      </w:pPr>
    </w:p>
    <w:p w:rsidR="00147414" w:rsidRDefault="00147414" w:rsidP="0014741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FC3759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год.</w:t>
      </w:r>
    </w:p>
    <w:p w:rsidR="00147414" w:rsidRPr="001600E6" w:rsidRDefault="00147414" w:rsidP="0014741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</w:t>
            </w:r>
            <w:r w:rsidRPr="0047738A">
              <w:rPr>
                <w:sz w:val="28"/>
                <w:szCs w:val="28"/>
              </w:rPr>
              <w:lastRenderedPageBreak/>
              <w:t>требований, с текстами в действующей редакции;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01" w:type="dxa"/>
          </w:tcPr>
          <w:p w:rsidR="00147414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147414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147414" w:rsidRPr="0047738A" w:rsidRDefault="00147414" w:rsidP="009F3C1B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147414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 10.01.202</w:t>
            </w:r>
            <w:r w:rsidR="00FC3759">
              <w:rPr>
                <w:sz w:val="28"/>
                <w:szCs w:val="28"/>
              </w:rPr>
              <w:t>6</w:t>
            </w:r>
          </w:p>
          <w:p w:rsidR="00147414" w:rsidRPr="0047738A" w:rsidRDefault="00147414" w:rsidP="00FC3759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04.03.</w:t>
            </w:r>
            <w:r w:rsidR="00D81F9D">
              <w:rPr>
                <w:sz w:val="28"/>
                <w:szCs w:val="28"/>
              </w:rPr>
              <w:t>202</w:t>
            </w:r>
            <w:r w:rsidR="00FC375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lastRenderedPageBreak/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1 раз в полгода 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147414" w:rsidRPr="0047738A" w:rsidRDefault="00D81F9D" w:rsidP="00FC3759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</w:t>
            </w:r>
            <w:r w:rsidR="00FC375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147414" w:rsidRPr="001600E6" w:rsidTr="009F3C1B">
        <w:tc>
          <w:tcPr>
            <w:tcW w:w="542" w:type="dxa"/>
          </w:tcPr>
          <w:p w:rsidR="00147414" w:rsidRPr="0047738A" w:rsidRDefault="00147414" w:rsidP="009F3C1B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147414" w:rsidRPr="0047738A" w:rsidRDefault="00147414" w:rsidP="009F3C1B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 по муниципальному контролю 2024 год</w:t>
            </w:r>
          </w:p>
        </w:tc>
        <w:tc>
          <w:tcPr>
            <w:tcW w:w="1701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147414" w:rsidRPr="0047738A" w:rsidRDefault="00D81F9D" w:rsidP="00FC3759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C3759">
              <w:rPr>
                <w:sz w:val="28"/>
                <w:szCs w:val="28"/>
              </w:rPr>
              <w:t>5</w:t>
            </w:r>
            <w:r w:rsidR="00147414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147414" w:rsidRPr="0047738A" w:rsidRDefault="00147414" w:rsidP="009F3C1B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147414" w:rsidRDefault="00147414" w:rsidP="00147414">
      <w:pPr>
        <w:autoSpaceDE w:val="0"/>
        <w:autoSpaceDN w:val="0"/>
        <w:adjustRightInd w:val="0"/>
        <w:rPr>
          <w:sz w:val="28"/>
          <w:szCs w:val="28"/>
        </w:rPr>
      </w:pPr>
    </w:p>
    <w:p w:rsidR="00147414" w:rsidRPr="001600E6" w:rsidRDefault="00147414" w:rsidP="001474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7414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47414" w:rsidRPr="00214E1A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lastRenderedPageBreak/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147414" w:rsidRPr="00AE626A" w:rsidRDefault="00147414" w:rsidP="00147414">
      <w:pPr>
        <w:pStyle w:val="af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147414" w:rsidRPr="00AE626A" w:rsidRDefault="00147414" w:rsidP="00147414">
      <w:pPr>
        <w:pStyle w:val="af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147414" w:rsidRPr="00214E1A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147414" w:rsidRDefault="00147414" w:rsidP="00147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147414" w:rsidRPr="001600E6" w:rsidRDefault="00147414" w:rsidP="0014741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147414" w:rsidRPr="001600E6" w:rsidTr="009F3C1B">
        <w:trPr>
          <w:trHeight w:val="606"/>
          <w:tblHeader/>
        </w:trPr>
        <w:tc>
          <w:tcPr>
            <w:tcW w:w="540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147414" w:rsidRPr="00CA0CF4" w:rsidRDefault="00147414" w:rsidP="00FC37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FC3759">
              <w:rPr>
                <w:sz w:val="28"/>
                <w:szCs w:val="28"/>
              </w:rPr>
              <w:t>5</w:t>
            </w:r>
            <w:r w:rsidR="00D81F9D">
              <w:rPr>
                <w:sz w:val="28"/>
                <w:szCs w:val="28"/>
              </w:rPr>
              <w:t xml:space="preserve"> </w:t>
            </w:r>
            <w:r w:rsidRPr="00CA0CF4"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2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147414" w:rsidRPr="001600E6" w:rsidTr="009F3C1B">
        <w:tc>
          <w:tcPr>
            <w:tcW w:w="540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7414" w:rsidRPr="00CA0CF4" w:rsidRDefault="00147414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147414" w:rsidRPr="00CA0CF4" w:rsidRDefault="00FC3759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47414"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147414" w:rsidRPr="001600E6" w:rsidRDefault="00D81F9D" w:rsidP="00FC375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202</w:t>
            </w:r>
            <w:r w:rsidR="00FC3759">
              <w:rPr>
                <w:sz w:val="28"/>
                <w:szCs w:val="28"/>
              </w:rPr>
              <w:t>7</w:t>
            </w:r>
            <w:r w:rsidR="00147414"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147414" w:rsidRPr="00AE626A" w:rsidTr="009F3C1B">
        <w:tc>
          <w:tcPr>
            <w:tcW w:w="540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147414" w:rsidRPr="00AE626A" w:rsidRDefault="00F855F7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147414" w:rsidRPr="00AE626A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147414" w:rsidRPr="00AE626A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</w:t>
            </w:r>
            <w:r w:rsidR="00F855F7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147414" w:rsidRPr="00AE626A" w:rsidRDefault="00F855F7" w:rsidP="009F3C1B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147414" w:rsidRPr="00AE626A">
              <w:rPr>
                <w:sz w:val="28"/>
                <w:szCs w:val="28"/>
              </w:rPr>
              <w:t>%</w:t>
            </w:r>
          </w:p>
        </w:tc>
      </w:tr>
      <w:tr w:rsidR="00147414" w:rsidRPr="001600E6" w:rsidTr="009F3C1B">
        <w:tc>
          <w:tcPr>
            <w:tcW w:w="540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147414" w:rsidRPr="00CA0CF4" w:rsidRDefault="00147414" w:rsidP="009F3C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147414" w:rsidRPr="00CA0CF4" w:rsidRDefault="00147414" w:rsidP="00F855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 w:rsidR="00F855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147414" w:rsidRPr="00CA0CF4" w:rsidRDefault="00147414" w:rsidP="00F855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F855F7"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2" w:type="dxa"/>
          </w:tcPr>
          <w:p w:rsidR="00147414" w:rsidRPr="00AE626A" w:rsidRDefault="00147414" w:rsidP="00F855F7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</w:t>
            </w:r>
            <w:r w:rsidR="00F855F7">
              <w:rPr>
                <w:sz w:val="28"/>
                <w:szCs w:val="28"/>
              </w:rPr>
              <w:t>4</w:t>
            </w:r>
            <w:r w:rsidRPr="00AE626A">
              <w:rPr>
                <w:sz w:val="28"/>
                <w:szCs w:val="28"/>
              </w:rPr>
              <w:t>%</w:t>
            </w:r>
          </w:p>
        </w:tc>
      </w:tr>
    </w:tbl>
    <w:p w:rsidR="00147414" w:rsidRDefault="00147414" w:rsidP="00147414">
      <w:pPr>
        <w:autoSpaceDE w:val="0"/>
        <w:autoSpaceDN w:val="0"/>
        <w:jc w:val="both"/>
        <w:rPr>
          <w:bCs/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4FE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10" w:rsidRDefault="00561210" w:rsidP="00CD7D0A">
      <w:r>
        <w:separator/>
      </w:r>
    </w:p>
  </w:endnote>
  <w:endnote w:type="continuationSeparator" w:id="0">
    <w:p w:rsidR="00561210" w:rsidRDefault="00561210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10" w:rsidRDefault="00561210" w:rsidP="00CD7D0A">
      <w:r>
        <w:separator/>
      </w:r>
    </w:p>
  </w:footnote>
  <w:footnote w:type="continuationSeparator" w:id="0">
    <w:p w:rsidR="00561210" w:rsidRDefault="00561210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63B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548E3"/>
    <w:rsid w:val="00070F64"/>
    <w:rsid w:val="00071254"/>
    <w:rsid w:val="000722A0"/>
    <w:rsid w:val="00097CA3"/>
    <w:rsid w:val="000D1955"/>
    <w:rsid w:val="00135DEA"/>
    <w:rsid w:val="00145909"/>
    <w:rsid w:val="00147414"/>
    <w:rsid w:val="00172BD9"/>
    <w:rsid w:val="001750FD"/>
    <w:rsid w:val="001756F2"/>
    <w:rsid w:val="001778BA"/>
    <w:rsid w:val="00187DB3"/>
    <w:rsid w:val="001A0103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29F0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B3A56"/>
    <w:rsid w:val="003B5244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93A4F"/>
    <w:rsid w:val="00495805"/>
    <w:rsid w:val="004C0233"/>
    <w:rsid w:val="004D263B"/>
    <w:rsid w:val="004E08BF"/>
    <w:rsid w:val="005069E5"/>
    <w:rsid w:val="005254A1"/>
    <w:rsid w:val="00531EDD"/>
    <w:rsid w:val="00542C74"/>
    <w:rsid w:val="005452FC"/>
    <w:rsid w:val="005501FF"/>
    <w:rsid w:val="005551F2"/>
    <w:rsid w:val="005608F0"/>
    <w:rsid w:val="00561210"/>
    <w:rsid w:val="00573058"/>
    <w:rsid w:val="0057565A"/>
    <w:rsid w:val="00580E23"/>
    <w:rsid w:val="00583C44"/>
    <w:rsid w:val="005877A5"/>
    <w:rsid w:val="00594CA6"/>
    <w:rsid w:val="005966BD"/>
    <w:rsid w:val="005B09D4"/>
    <w:rsid w:val="005B16EE"/>
    <w:rsid w:val="005B217F"/>
    <w:rsid w:val="005B36A6"/>
    <w:rsid w:val="005D3CF5"/>
    <w:rsid w:val="005E7CDD"/>
    <w:rsid w:val="005E7E09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A24C2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B4CF8"/>
    <w:rsid w:val="007D24FC"/>
    <w:rsid w:val="007E4A95"/>
    <w:rsid w:val="00824CC6"/>
    <w:rsid w:val="008301DC"/>
    <w:rsid w:val="00860355"/>
    <w:rsid w:val="0088450A"/>
    <w:rsid w:val="008F7FEF"/>
    <w:rsid w:val="00912571"/>
    <w:rsid w:val="00914D69"/>
    <w:rsid w:val="00921F18"/>
    <w:rsid w:val="00933E66"/>
    <w:rsid w:val="00941693"/>
    <w:rsid w:val="00947D25"/>
    <w:rsid w:val="00951619"/>
    <w:rsid w:val="0095793C"/>
    <w:rsid w:val="00971710"/>
    <w:rsid w:val="00977177"/>
    <w:rsid w:val="00983992"/>
    <w:rsid w:val="00987606"/>
    <w:rsid w:val="009A55A0"/>
    <w:rsid w:val="009B7DB6"/>
    <w:rsid w:val="009C0A35"/>
    <w:rsid w:val="009F103B"/>
    <w:rsid w:val="009F7C6E"/>
    <w:rsid w:val="00A04F66"/>
    <w:rsid w:val="00A12B77"/>
    <w:rsid w:val="00A17C40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759A5"/>
    <w:rsid w:val="00B9418C"/>
    <w:rsid w:val="00BA1E79"/>
    <w:rsid w:val="00BB6F94"/>
    <w:rsid w:val="00BF0D40"/>
    <w:rsid w:val="00C00F1A"/>
    <w:rsid w:val="00C10D26"/>
    <w:rsid w:val="00C12741"/>
    <w:rsid w:val="00C20C58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D0F3A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81F9D"/>
    <w:rsid w:val="00DB76EB"/>
    <w:rsid w:val="00DC5494"/>
    <w:rsid w:val="00DD3E67"/>
    <w:rsid w:val="00DE645C"/>
    <w:rsid w:val="00E71BD6"/>
    <w:rsid w:val="00E75909"/>
    <w:rsid w:val="00E76AD8"/>
    <w:rsid w:val="00E83FFE"/>
    <w:rsid w:val="00EB33C8"/>
    <w:rsid w:val="00EC3EDA"/>
    <w:rsid w:val="00EE1A09"/>
    <w:rsid w:val="00EE3D04"/>
    <w:rsid w:val="00EE5027"/>
    <w:rsid w:val="00EE57AE"/>
    <w:rsid w:val="00EF6333"/>
    <w:rsid w:val="00F335A2"/>
    <w:rsid w:val="00F4542F"/>
    <w:rsid w:val="00F66368"/>
    <w:rsid w:val="00F8044A"/>
    <w:rsid w:val="00F855F7"/>
    <w:rsid w:val="00FA15E5"/>
    <w:rsid w:val="00FB79AA"/>
    <w:rsid w:val="00FC3759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elikorusskogo-r52.gosweb.gosuslugi.ru/deyatelnost/napravleniya-deyatelnosti/npa/2024-god/postanovleniya-administr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32D0-534F-43EB-94CB-F96F4C4C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26</cp:revision>
  <cp:lastPrinted>2022-11-14T02:16:00Z</cp:lastPrinted>
  <dcterms:created xsi:type="dcterms:W3CDTF">2021-09-28T03:27:00Z</dcterms:created>
  <dcterms:modified xsi:type="dcterms:W3CDTF">2024-10-11T09:16:00Z</dcterms:modified>
</cp:coreProperties>
</file>