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6C" w:rsidRPr="0048176C" w:rsidRDefault="001273C4" w:rsidP="0048176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ВЕЛИКОРУССКОГО </w:t>
      </w:r>
      <w:r w:rsidR="0048176C" w:rsidRPr="0048176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8176C" w:rsidRPr="0048176C" w:rsidRDefault="0048176C" w:rsidP="0048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КАЛАЧИНСКОГО</w:t>
      </w:r>
      <w:r w:rsidRPr="0048176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8176C" w:rsidRPr="0048176C" w:rsidRDefault="0048176C" w:rsidP="0048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8176C" w:rsidRPr="0048176C" w:rsidRDefault="0048176C" w:rsidP="0048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76C" w:rsidRPr="0048176C" w:rsidRDefault="0048176C" w:rsidP="0048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sz w:val="24"/>
          <w:szCs w:val="24"/>
        </w:rPr>
        <w:t>РЕШЕНИЕ</w:t>
      </w:r>
    </w:p>
    <w:p w:rsidR="0048176C" w:rsidRPr="0048176C" w:rsidRDefault="0048176C" w:rsidP="0048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76C" w:rsidRPr="0048176C" w:rsidRDefault="004270AD" w:rsidP="0048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</w:t>
      </w:r>
      <w:r w:rsidR="0048176C" w:rsidRPr="0048176C">
        <w:rPr>
          <w:rFonts w:ascii="Times New Roman" w:hAnsi="Times New Roman" w:cs="Times New Roman"/>
          <w:sz w:val="24"/>
          <w:szCs w:val="24"/>
        </w:rPr>
        <w:t xml:space="preserve">2020 года                                                                          </w:t>
      </w:r>
      <w:r w:rsidR="004817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№ 9</w:t>
      </w:r>
    </w:p>
    <w:p w:rsidR="0048176C" w:rsidRPr="0048176C" w:rsidRDefault="0048176C" w:rsidP="0048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 w:rsidRPr="0048176C">
        <w:rPr>
          <w:b w:val="0"/>
          <w:sz w:val="24"/>
          <w:szCs w:val="24"/>
        </w:rPr>
        <w:t>«Об утверждении Положения о проведении мониторинга изменений законодательства и муниципальных нормативных правовых актов органов местног</w:t>
      </w:r>
      <w:r w:rsidR="001273C4">
        <w:rPr>
          <w:b w:val="0"/>
          <w:sz w:val="24"/>
          <w:szCs w:val="24"/>
        </w:rPr>
        <w:t>о самоуправления Великорусского</w:t>
      </w:r>
      <w:r w:rsidRPr="0048176C">
        <w:rPr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sz w:val="24"/>
          <w:szCs w:val="24"/>
        </w:rPr>
        <w:t>Калачинского</w:t>
      </w:r>
      <w:proofErr w:type="spellEnd"/>
      <w:r w:rsidRPr="0048176C">
        <w:rPr>
          <w:b w:val="0"/>
          <w:sz w:val="24"/>
          <w:szCs w:val="24"/>
        </w:rPr>
        <w:t xml:space="preserve"> муниципального района Омской области»</w:t>
      </w:r>
    </w:p>
    <w:p w:rsidR="0048176C" w:rsidRPr="0048176C" w:rsidRDefault="0048176C" w:rsidP="00481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8176C" w:rsidRPr="0048176C" w:rsidRDefault="0048176C" w:rsidP="0048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76C">
        <w:rPr>
          <w:rFonts w:ascii="Times New Roman" w:hAnsi="Times New Roman" w:cs="Times New Roman"/>
          <w:sz w:val="24"/>
          <w:szCs w:val="24"/>
        </w:rPr>
        <w:t xml:space="preserve">В целях совершенствования работы органов местного самоуправления </w:t>
      </w:r>
      <w:r w:rsidR="001273C4" w:rsidRPr="001273C4">
        <w:rPr>
          <w:rFonts w:ascii="Times New Roman" w:hAnsi="Times New Roman" w:cs="Times New Roman"/>
          <w:sz w:val="24"/>
          <w:szCs w:val="24"/>
        </w:rPr>
        <w:t>Великорусского</w:t>
      </w:r>
      <w:r w:rsidRPr="001273C4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 по проведению мониторинга изменений законодательства и мун</w:t>
      </w:r>
      <w:r w:rsidRPr="001273C4">
        <w:rPr>
          <w:rStyle w:val="1"/>
          <w:rFonts w:eastAsia="Calibri"/>
          <w:sz w:val="24"/>
          <w:szCs w:val="24"/>
        </w:rPr>
        <w:t>ици</w:t>
      </w:r>
      <w:r w:rsidRPr="001273C4">
        <w:rPr>
          <w:rFonts w:ascii="Times New Roman" w:hAnsi="Times New Roman" w:cs="Times New Roman"/>
          <w:sz w:val="24"/>
          <w:szCs w:val="24"/>
        </w:rPr>
        <w:t xml:space="preserve">пальных нормативных правовых актов, принятых органами местного самоуправления </w:t>
      </w:r>
      <w:r w:rsidR="001273C4" w:rsidRPr="001273C4">
        <w:rPr>
          <w:rFonts w:ascii="Times New Roman" w:hAnsi="Times New Roman" w:cs="Times New Roman"/>
          <w:sz w:val="24"/>
          <w:szCs w:val="24"/>
        </w:rPr>
        <w:t>Великорусского</w:t>
      </w:r>
      <w:r w:rsidRPr="001273C4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</w:t>
      </w:r>
      <w:r w:rsidRPr="0048176C">
        <w:rPr>
          <w:rFonts w:ascii="Times New Roman" w:hAnsi="Times New Roman" w:cs="Times New Roman"/>
          <w:sz w:val="24"/>
          <w:szCs w:val="24"/>
        </w:rPr>
        <w:t xml:space="preserve"> области, руководствуясь Федеральным </w:t>
      </w:r>
      <w:hyperlink r:id="rId6" w:history="1">
        <w:r w:rsidRPr="0048176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76C">
        <w:rPr>
          <w:rFonts w:ascii="Times New Roman" w:hAnsi="Times New Roman" w:cs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</w:t>
      </w:r>
      <w:r w:rsidRPr="0048176C">
        <w:rPr>
          <w:rFonts w:ascii="Times New Roman" w:hAnsi="Times New Roman" w:cs="Times New Roman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8176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1273C4" w:rsidRPr="001273C4">
        <w:rPr>
          <w:rFonts w:ascii="Times New Roman" w:hAnsi="Times New Roman" w:cs="Times New Roman"/>
          <w:sz w:val="24"/>
          <w:szCs w:val="24"/>
        </w:rPr>
        <w:t xml:space="preserve"> Великорусского</w:t>
      </w:r>
      <w:r w:rsidRPr="00481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Калачинского</w:t>
      </w:r>
      <w:r w:rsidRPr="0048176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</w:t>
      </w:r>
      <w:proofErr w:type="gramEnd"/>
      <w:r w:rsidRPr="0048176C">
        <w:rPr>
          <w:rFonts w:ascii="Times New Roman" w:hAnsi="Times New Roman" w:cs="Times New Roman"/>
          <w:sz w:val="24"/>
          <w:szCs w:val="24"/>
        </w:rPr>
        <w:t xml:space="preserve"> области, </w:t>
      </w:r>
    </w:p>
    <w:p w:rsidR="0048176C" w:rsidRPr="0048176C" w:rsidRDefault="0048176C" w:rsidP="0048176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8176C" w:rsidRPr="0048176C" w:rsidRDefault="0048176C" w:rsidP="0048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sz w:val="24"/>
          <w:szCs w:val="24"/>
        </w:rPr>
        <w:t>РЕШИЛ:</w:t>
      </w:r>
    </w:p>
    <w:p w:rsidR="0048176C" w:rsidRPr="0048176C" w:rsidRDefault="0048176C" w:rsidP="00481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76C" w:rsidRPr="0048176C" w:rsidRDefault="0048176C" w:rsidP="0048176C">
      <w:pPr>
        <w:widowControl w:val="0"/>
        <w:numPr>
          <w:ilvl w:val="0"/>
          <w:numId w:val="6"/>
        </w:numPr>
        <w:tabs>
          <w:tab w:val="left" w:pos="985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1273C4" w:rsidRPr="001273C4">
        <w:rPr>
          <w:rFonts w:ascii="Times New Roman" w:hAnsi="Times New Roman" w:cs="Times New Roman"/>
          <w:color w:val="000000"/>
          <w:sz w:val="24"/>
          <w:szCs w:val="24"/>
        </w:rPr>
        <w:t>Великорусского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области.</w:t>
      </w:r>
    </w:p>
    <w:p w:rsidR="0048176C" w:rsidRPr="0048176C" w:rsidRDefault="0048176C" w:rsidP="0048176C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 </w:t>
      </w:r>
      <w:r w:rsidR="001273C4" w:rsidRPr="001273C4">
        <w:rPr>
          <w:rFonts w:ascii="Times New Roman" w:hAnsi="Times New Roman" w:cs="Times New Roman"/>
          <w:color w:val="000000"/>
          <w:sz w:val="24"/>
          <w:szCs w:val="24"/>
        </w:rPr>
        <w:t>Великорусского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12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назначить лиц, ответственных за выполнение указанного Положения;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4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внести соответствующие изменения в должностные инструкции мун</w:t>
      </w:r>
      <w:r w:rsidRPr="0048176C">
        <w:rPr>
          <w:rStyle w:val="1"/>
          <w:rFonts w:eastAsia="Calibri"/>
          <w:sz w:val="24"/>
          <w:szCs w:val="24"/>
        </w:rPr>
        <w:t>ици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>пальных служащих, назначенных ответственными лицами.</w:t>
      </w:r>
    </w:p>
    <w:p w:rsidR="0048176C" w:rsidRPr="0048176C" w:rsidRDefault="0048176C" w:rsidP="0048176C">
      <w:pPr>
        <w:pStyle w:val="af0"/>
        <w:widowControl w:val="0"/>
        <w:numPr>
          <w:ilvl w:val="0"/>
          <w:numId w:val="6"/>
        </w:numPr>
        <w:tabs>
          <w:tab w:val="left" w:pos="942"/>
        </w:tabs>
        <w:ind w:left="0" w:right="20" w:firstLine="709"/>
        <w:jc w:val="both"/>
      </w:pPr>
      <w:r w:rsidRPr="0048176C">
        <w:t xml:space="preserve">Опубликовать настоящее постановление в периодическом печатном издании «Официальный бюллетень органов местного самоуправления </w:t>
      </w:r>
      <w:r w:rsidR="001273C4" w:rsidRPr="001273C4">
        <w:t>Великорусского</w:t>
      </w:r>
      <w:r w:rsidRPr="0048176C">
        <w:t xml:space="preserve"> поселения </w:t>
      </w:r>
      <w:r>
        <w:t>Калачинского</w:t>
      </w:r>
      <w:r w:rsidRPr="0048176C">
        <w:t xml:space="preserve"> муниципального района Омской области» и на официальном сайте администрации </w:t>
      </w:r>
      <w:r w:rsidR="001273C4" w:rsidRPr="001273C4">
        <w:t>Великорусского</w:t>
      </w:r>
      <w:r w:rsidRPr="0048176C">
        <w:t xml:space="preserve"> сельского поселения.</w:t>
      </w:r>
    </w:p>
    <w:p w:rsidR="0048176C" w:rsidRPr="0048176C" w:rsidRDefault="0048176C" w:rsidP="0048176C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76C" w:rsidRPr="0048176C" w:rsidRDefault="0048176C" w:rsidP="0048176C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1273C4" w:rsidRPr="001273C4">
        <w:rPr>
          <w:rFonts w:ascii="Times New Roman" w:hAnsi="Times New Roman" w:cs="Times New Roman"/>
          <w:sz w:val="24"/>
          <w:szCs w:val="24"/>
        </w:rPr>
        <w:t>Великорусского</w:t>
      </w:r>
      <w:proofErr w:type="gramEnd"/>
    </w:p>
    <w:p w:rsidR="0048176C" w:rsidRPr="0048176C" w:rsidRDefault="0048176C" w:rsidP="0048176C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Калачинского</w:t>
      </w:r>
    </w:p>
    <w:p w:rsidR="0048176C" w:rsidRPr="0048176C" w:rsidRDefault="0048176C" w:rsidP="0048176C">
      <w:pPr>
        <w:pStyle w:val="ConsPlusNormal"/>
        <w:jc w:val="both"/>
        <w:rPr>
          <w:szCs w:val="24"/>
        </w:rPr>
      </w:pPr>
      <w:r w:rsidRPr="0048176C">
        <w:rPr>
          <w:szCs w:val="24"/>
        </w:rPr>
        <w:t xml:space="preserve">муниципального района Омской области                         </w:t>
      </w:r>
      <w:r w:rsidR="004270AD">
        <w:rPr>
          <w:szCs w:val="24"/>
        </w:rPr>
        <w:t xml:space="preserve">             </w:t>
      </w:r>
      <w:proofErr w:type="spellStart"/>
      <w:r w:rsidR="004270AD">
        <w:rPr>
          <w:szCs w:val="24"/>
        </w:rPr>
        <w:t>С.А.Бичун</w:t>
      </w:r>
      <w:proofErr w:type="spellEnd"/>
    </w:p>
    <w:p w:rsidR="0048176C" w:rsidRDefault="0048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p w:rsidR="0048176C" w:rsidRPr="004270AD" w:rsidRDefault="0048176C" w:rsidP="004270AD">
      <w:pPr>
        <w:pStyle w:val="50"/>
        <w:shd w:val="clear" w:color="auto" w:fill="auto"/>
        <w:tabs>
          <w:tab w:val="left" w:pos="5670"/>
        </w:tabs>
        <w:spacing w:after="0" w:line="240" w:lineRule="auto"/>
        <w:ind w:left="5670"/>
        <w:rPr>
          <w:color w:val="000000"/>
          <w:sz w:val="24"/>
          <w:szCs w:val="24"/>
        </w:rPr>
      </w:pPr>
      <w:r w:rsidRPr="0048176C">
        <w:rPr>
          <w:color w:val="000000"/>
          <w:sz w:val="24"/>
          <w:szCs w:val="24"/>
        </w:rPr>
        <w:lastRenderedPageBreak/>
        <w:t>Приложение к решению Совета</w:t>
      </w:r>
      <w:r w:rsidR="001273C4" w:rsidRPr="001273C4">
        <w:rPr>
          <w:rFonts w:eastAsia="Calibri"/>
          <w:sz w:val="24"/>
          <w:szCs w:val="24"/>
          <w:lang w:eastAsia="en-US"/>
        </w:rPr>
        <w:t xml:space="preserve"> </w:t>
      </w:r>
      <w:r w:rsidR="001273C4" w:rsidRPr="001273C4">
        <w:rPr>
          <w:color w:val="000000"/>
          <w:sz w:val="24"/>
          <w:szCs w:val="24"/>
        </w:rPr>
        <w:t>Великорусского</w:t>
      </w:r>
      <w:r w:rsidRPr="0048176C"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Калачинского</w:t>
      </w:r>
      <w:proofErr w:type="spellEnd"/>
      <w:r w:rsidRPr="0048176C">
        <w:rPr>
          <w:color w:val="000000"/>
          <w:sz w:val="24"/>
          <w:szCs w:val="24"/>
        </w:rPr>
        <w:t xml:space="preserve"> муниципального ра</w:t>
      </w:r>
      <w:r w:rsidR="004270AD">
        <w:rPr>
          <w:color w:val="000000"/>
          <w:sz w:val="24"/>
          <w:szCs w:val="24"/>
        </w:rPr>
        <w:t>йона Омской области от 23.06.2020 № 9</w:t>
      </w: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ind w:left="20"/>
        <w:jc w:val="center"/>
        <w:rPr>
          <w:color w:val="000000"/>
          <w:sz w:val="24"/>
          <w:szCs w:val="24"/>
        </w:rPr>
      </w:pP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ind w:left="20"/>
        <w:jc w:val="center"/>
        <w:rPr>
          <w:color w:val="000000"/>
          <w:sz w:val="24"/>
          <w:szCs w:val="24"/>
        </w:rPr>
      </w:pP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 w:rsidRPr="0048176C">
        <w:rPr>
          <w:color w:val="000000"/>
          <w:sz w:val="24"/>
          <w:szCs w:val="24"/>
        </w:rPr>
        <w:t>Положение</w:t>
      </w: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ind w:left="20" w:right="20"/>
        <w:jc w:val="center"/>
        <w:rPr>
          <w:color w:val="000000"/>
          <w:sz w:val="24"/>
          <w:szCs w:val="24"/>
        </w:rPr>
      </w:pPr>
      <w:r w:rsidRPr="0048176C">
        <w:rPr>
          <w:color w:val="000000"/>
          <w:sz w:val="24"/>
          <w:szCs w:val="24"/>
        </w:rPr>
        <w:t>о проведении мониторинга изменений законодательства и муниципальных нормативных правовых актов органов местного самоуправления</w:t>
      </w: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ind w:left="20" w:right="20"/>
        <w:jc w:val="center"/>
        <w:rPr>
          <w:color w:val="000000"/>
          <w:sz w:val="24"/>
          <w:szCs w:val="24"/>
        </w:rPr>
      </w:pPr>
      <w:r w:rsidRPr="0048176C">
        <w:rPr>
          <w:color w:val="000000"/>
          <w:sz w:val="24"/>
          <w:szCs w:val="24"/>
        </w:rPr>
        <w:t xml:space="preserve">                      сельского поселения </w:t>
      </w:r>
      <w:r>
        <w:rPr>
          <w:color w:val="000000"/>
          <w:sz w:val="24"/>
          <w:szCs w:val="24"/>
        </w:rPr>
        <w:t>Калачинского</w:t>
      </w:r>
      <w:r w:rsidRPr="0048176C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48176C" w:rsidRPr="0048176C" w:rsidRDefault="0048176C" w:rsidP="0048176C">
      <w:pPr>
        <w:pStyle w:val="40"/>
        <w:shd w:val="clear" w:color="auto" w:fill="auto"/>
        <w:spacing w:after="0" w:line="240" w:lineRule="auto"/>
        <w:ind w:left="20" w:right="20"/>
        <w:jc w:val="center"/>
        <w:rPr>
          <w:sz w:val="24"/>
          <w:szCs w:val="24"/>
        </w:rPr>
      </w:pPr>
    </w:p>
    <w:p w:rsidR="0048176C" w:rsidRPr="0048176C" w:rsidRDefault="0048176C" w:rsidP="0048176C">
      <w:pPr>
        <w:pStyle w:val="40"/>
        <w:numPr>
          <w:ilvl w:val="0"/>
          <w:numId w:val="8"/>
        </w:numPr>
        <w:shd w:val="clear" w:color="auto" w:fill="auto"/>
        <w:tabs>
          <w:tab w:val="left" w:pos="255"/>
        </w:tabs>
        <w:spacing w:after="0" w:line="240" w:lineRule="auto"/>
        <w:ind w:left="20"/>
        <w:jc w:val="center"/>
        <w:rPr>
          <w:sz w:val="24"/>
          <w:szCs w:val="24"/>
        </w:rPr>
      </w:pPr>
      <w:r w:rsidRPr="0048176C">
        <w:rPr>
          <w:color w:val="000000"/>
          <w:sz w:val="24"/>
          <w:szCs w:val="24"/>
        </w:rPr>
        <w:t>Общие положения</w:t>
      </w:r>
    </w:p>
    <w:p w:rsidR="0048176C" w:rsidRPr="0048176C" w:rsidRDefault="0048176C" w:rsidP="0048176C">
      <w:pPr>
        <w:pStyle w:val="40"/>
        <w:shd w:val="clear" w:color="auto" w:fill="auto"/>
        <w:tabs>
          <w:tab w:val="left" w:pos="255"/>
        </w:tabs>
        <w:spacing w:after="0" w:line="240" w:lineRule="auto"/>
        <w:ind w:left="20"/>
        <w:jc w:val="center"/>
        <w:rPr>
          <w:sz w:val="24"/>
          <w:szCs w:val="24"/>
        </w:rPr>
      </w:pP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Мониторинг изменений законодательства и мун</w:t>
      </w:r>
      <w:r w:rsidRPr="0048176C">
        <w:rPr>
          <w:rStyle w:val="1"/>
          <w:rFonts w:eastAsia="Calibri"/>
          <w:sz w:val="24"/>
          <w:szCs w:val="24"/>
        </w:rPr>
        <w:t>ици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пальных нормативных правовых актов органов местного самоуправления </w:t>
      </w:r>
      <w:r w:rsidR="001273C4" w:rsidRPr="001273C4">
        <w:rPr>
          <w:rFonts w:ascii="Times New Roman" w:hAnsi="Times New Roman" w:cs="Times New Roman"/>
          <w:color w:val="000000"/>
          <w:sz w:val="24"/>
          <w:szCs w:val="24"/>
        </w:rPr>
        <w:t>Великорусского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Калачинского</w:t>
      </w:r>
      <w:proofErr w:type="spell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(далее -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принятия, изменения или признания утратившими силу (отмены) муниципальн</w:t>
      </w:r>
      <w:bookmarkStart w:id="0" w:name="_GoBack"/>
      <w:bookmarkEnd w:id="0"/>
      <w:r w:rsidRPr="0048176C">
        <w:rPr>
          <w:rFonts w:ascii="Times New Roman" w:hAnsi="Times New Roman" w:cs="Times New Roman"/>
          <w:color w:val="000000"/>
          <w:sz w:val="24"/>
          <w:szCs w:val="24"/>
        </w:rPr>
        <w:t>ых актов.</w:t>
      </w:r>
      <w:proofErr w:type="gramEnd"/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7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Мониторинг проводится органами местного самоуправления.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00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Органы местного самоуправления при проведении </w:t>
      </w:r>
      <w:r w:rsidR="004270AD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мониторинга взаимодействуют с </w:t>
      </w:r>
      <w:r w:rsidR="004270AD" w:rsidRPr="000A6987">
        <w:rPr>
          <w:rFonts w:ascii="Times New Roman" w:hAnsi="Times New Roman" w:cs="Times New Roman"/>
          <w:color w:val="000000"/>
          <w:sz w:val="24"/>
          <w:szCs w:val="24"/>
        </w:rPr>
        <w:t xml:space="preserve">Прокуратурой </w:t>
      </w:r>
      <w:proofErr w:type="spellStart"/>
      <w:r w:rsidR="004270AD" w:rsidRPr="000A6987">
        <w:rPr>
          <w:rFonts w:ascii="Times New Roman" w:hAnsi="Times New Roman" w:cs="Times New Roman"/>
          <w:color w:val="000000"/>
          <w:sz w:val="24"/>
          <w:szCs w:val="24"/>
        </w:rPr>
        <w:t>Калачинского</w:t>
      </w:r>
      <w:proofErr w:type="spellEnd"/>
      <w:r w:rsidR="004270AD" w:rsidRPr="000A698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и иными органами местного самоуправления муниципального образования.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85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Для проведения мониторинга в органах местного самоуправления назначаются ответственные лица.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7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Целями проведения мониторинга являются: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2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потребности в принятии, изменении или признании </w:t>
      </w: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утратившими</w:t>
      </w:r>
      <w:proofErr w:type="gram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силу муниципальных актов в целях приведения в соответствие с федеральным и республиканским законодательством;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86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устранение коллизий, противоречий, пробелов в мун</w:t>
      </w:r>
      <w:r w:rsidRPr="0048176C">
        <w:rPr>
          <w:rStyle w:val="1"/>
          <w:rFonts w:eastAsia="Calibri"/>
          <w:sz w:val="24"/>
          <w:szCs w:val="24"/>
        </w:rPr>
        <w:t>ици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>пальных актах, дублирования в правовом регулировании;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2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обеспечение систематизации нормативной правовой базы органов местного самоуправления;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6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proofErr w:type="spell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в муниципальных актах;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56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</w:t>
      </w:r>
      <w:proofErr w:type="spell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правоприменения</w:t>
      </w:r>
      <w:proofErr w:type="spellEnd"/>
      <w:r w:rsidRPr="0048176C">
        <w:rPr>
          <w:rFonts w:ascii="Times New Roman" w:hAnsi="Times New Roman" w:cs="Times New Roman"/>
          <w:color w:val="000000"/>
          <w:sz w:val="24"/>
          <w:szCs w:val="24"/>
        </w:rPr>
        <w:t>; выявление факторов, снижающих эффективность реализации муниципальных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13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5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разработка предложений по совершенствованию нормотворческого процесса.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7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Мониторинг включает в себя сбор, обобщение, анализ и оценку изменений: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18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8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</w:t>
      </w:r>
      <w:r w:rsidRPr="0048176C">
        <w:rPr>
          <w:rFonts w:ascii="Times New Roman" w:hAnsi="Times New Roman" w:cs="Times New Roman"/>
          <w:sz w:val="24"/>
          <w:szCs w:val="24"/>
        </w:rPr>
        <w:t xml:space="preserve"> 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>уровня;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законов и иных нормативных правовых актов Омской области;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Устава </w:t>
      </w:r>
      <w:r w:rsidR="001273C4" w:rsidRPr="001273C4">
        <w:rPr>
          <w:rFonts w:ascii="Times New Roman" w:hAnsi="Times New Roman" w:cs="Times New Roman"/>
          <w:color w:val="000000"/>
          <w:sz w:val="24"/>
          <w:szCs w:val="24"/>
        </w:rPr>
        <w:t>Великорусского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Калачинского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Омской области, муниципальных актов.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9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Основаниями проведения мониторинга являются: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акты федерального, областного законодательства;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2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анализ применения мун</w:t>
      </w:r>
      <w:r w:rsidRPr="0048176C">
        <w:rPr>
          <w:rStyle w:val="1"/>
          <w:rFonts w:eastAsia="Calibri"/>
          <w:sz w:val="24"/>
          <w:szCs w:val="24"/>
        </w:rPr>
        <w:t>ици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>пальных актов в определенной сфере правового регулирования;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информация органов прокуратуры;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8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10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заключения правовой экспертизы, проведенной в отношении муниципальных актов, включенных в регистр муниципальных нормативных правовых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антикоррупционной экспертизы муниципальных актов, подготовленные в установленном </w:t>
      </w: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уполномоченными на ее проведение лицами;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7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48176C" w:rsidRPr="0048176C" w:rsidRDefault="0048176C" w:rsidP="0048176C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331"/>
        </w:tabs>
        <w:spacing w:before="0" w:after="0" w:line="240" w:lineRule="auto"/>
        <w:ind w:firstLine="700"/>
        <w:rPr>
          <w:sz w:val="24"/>
          <w:szCs w:val="24"/>
        </w:rPr>
      </w:pPr>
      <w:bookmarkStart w:id="1" w:name="bookmark1"/>
      <w:r w:rsidRPr="0048176C">
        <w:rPr>
          <w:color w:val="000000"/>
          <w:sz w:val="24"/>
          <w:szCs w:val="24"/>
        </w:rPr>
        <w:t>Порядок проведения мониторинга</w:t>
      </w:r>
      <w:bookmarkEnd w:id="1"/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48176C" w:rsidRPr="0048176C" w:rsidRDefault="0048176C" w:rsidP="0048176C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</w:t>
      </w:r>
      <w:r w:rsidRPr="0048176C">
        <w:rPr>
          <w:rStyle w:val="1"/>
          <w:rFonts w:eastAsia="Calibri"/>
          <w:sz w:val="24"/>
          <w:szCs w:val="24"/>
        </w:rPr>
        <w:t>ици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>пальных образований Омской области, субъектов Российской Федерации, использоваться другие формы работы.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Мониторинг осуществляется посредством анализа: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актов, указанных в пункте 6 настоящего Положения;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актов прокурорского реагирования.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</w:t>
      </w:r>
      <w:r w:rsidRPr="0048176C">
        <w:rPr>
          <w:rFonts w:ascii="Times New Roman" w:hAnsi="Times New Roman" w:cs="Times New Roman"/>
          <w:sz w:val="24"/>
          <w:szCs w:val="24"/>
        </w:rPr>
        <w:t>нормативных правовых актов в органах местного самоуправления.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095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76C">
        <w:rPr>
          <w:rFonts w:ascii="Times New Roman" w:hAnsi="Times New Roman" w:cs="Times New Roman"/>
          <w:sz w:val="24"/>
          <w:szCs w:val="24"/>
        </w:rPr>
        <w:t>Для оптимизации процесса осуществления мониторинга используются система официального опубликования правовых актов в электронном виде (</w:t>
      </w:r>
      <w:hyperlink r:id="rId8" w:history="1">
        <w:r w:rsidRPr="0048176C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4817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8176C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publication</w:t>
        </w:r>
        <w:r w:rsidRPr="004817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176C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pravo</w:t>
        </w:r>
        <w:proofErr w:type="spellEnd"/>
        <w:r w:rsidRPr="004817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176C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gov</w:t>
        </w:r>
        <w:proofErr w:type="spellEnd"/>
        <w:r w:rsidRPr="004817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176C">
          <w:rPr>
            <w:rStyle w:val="a8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  <w:r w:rsidRPr="0048176C">
        <w:rPr>
          <w:rFonts w:ascii="Times New Roman" w:hAnsi="Times New Roman" w:cs="Times New Roman"/>
          <w:sz w:val="24"/>
          <w:szCs w:val="24"/>
        </w:rPr>
        <w:t>),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 поступление информации об изменениях в поставленные на контроль законодательные и иные нормативные правовые акты.</w:t>
      </w:r>
      <w:proofErr w:type="gramEnd"/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2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мониторинга для обеспечения принятия, изменения или признания </w:t>
      </w: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утратившими</w:t>
      </w:r>
      <w:proofErr w:type="gram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85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соблюдение гарантированных прав, свобод и законных интересов человека и гражданина;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7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27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пределов компетенции органа местного самоуправления при издании 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акта;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в муниципальном акте </w:t>
      </w:r>
      <w:proofErr w:type="spell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полнота в правовом регулировании общественных отношений;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коллизия норм права;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наличие ошибок юридико-технического характера;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искажение смысла положений муниципального акта при его применении;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47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наличие практики применения нормативных правовых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отсутствие единообразной практики применения нормативных правовых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6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наличие (количество) и содержание заявлений по вопросам разъяснения муниципального акта;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 случае выявления по результатам мониторинга изменений федерального и областного законодательства, влекущих изменения муниципальных актов, органами местного самоуправления: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8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утратившим</w:t>
      </w:r>
      <w:proofErr w:type="gram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силу муниципального акта, о принятии нового муниципального акта;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94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внесения изменений в акты федерального и областного законодательства, влекущих необходимость изменения муниципальных актов, мониторинг проводится в </w:t>
      </w:r>
      <w:r w:rsidR="000A6987">
        <w:rPr>
          <w:rFonts w:ascii="Times New Roman" w:hAnsi="Times New Roman" w:cs="Times New Roman"/>
          <w:color w:val="000000"/>
          <w:sz w:val="24"/>
          <w:szCs w:val="24"/>
        </w:rPr>
        <w:t>течение 30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издания федерального или областного акта.</w:t>
      </w:r>
    </w:p>
    <w:p w:rsidR="0048176C" w:rsidRPr="0048176C" w:rsidRDefault="0048176C" w:rsidP="0048176C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</w:t>
      </w:r>
      <w:r w:rsidR="000A6987">
        <w:rPr>
          <w:rFonts w:ascii="Times New Roman" w:hAnsi="Times New Roman" w:cs="Times New Roman"/>
          <w:color w:val="000000"/>
          <w:sz w:val="24"/>
          <w:szCs w:val="24"/>
        </w:rPr>
        <w:t>ие 10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их поступления.</w:t>
      </w:r>
      <w:proofErr w:type="gramEnd"/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проведения мониторинга в указанных случаях сообщается обратившемуся лицу.</w:t>
      </w:r>
    </w:p>
    <w:p w:rsidR="0048176C" w:rsidRPr="0048176C" w:rsidRDefault="0048176C" w:rsidP="0048176C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 случае выявления изменений актов федерального и областного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48176C" w:rsidRPr="0048176C" w:rsidRDefault="0048176C" w:rsidP="0048176C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27"/>
        </w:tabs>
        <w:spacing w:before="0" w:after="0" w:line="240" w:lineRule="auto"/>
        <w:ind w:firstLine="700"/>
        <w:rPr>
          <w:sz w:val="24"/>
          <w:szCs w:val="24"/>
        </w:rPr>
      </w:pPr>
      <w:bookmarkStart w:id="2" w:name="bookmark2"/>
      <w:r w:rsidRPr="0048176C">
        <w:rPr>
          <w:color w:val="000000"/>
          <w:sz w:val="24"/>
          <w:szCs w:val="24"/>
        </w:rPr>
        <w:t>Реализация результатов мониторинга</w:t>
      </w:r>
      <w:bookmarkEnd w:id="2"/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проекта муниципального акта и принятие муниципального акта по результатам мониторинга проводится </w:t>
      </w:r>
      <w:r w:rsidR="000A6987">
        <w:rPr>
          <w:rFonts w:ascii="Times New Roman" w:hAnsi="Times New Roman" w:cs="Times New Roman"/>
          <w:color w:val="000000"/>
          <w:sz w:val="24"/>
          <w:szCs w:val="24"/>
        </w:rPr>
        <w:t>в срок не позднее 10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изменения соответствующего акта федерального и (или) областного законодательства за исключением случаев, указанных в пункте 14 настоящего Положения.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2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Ответственные за проведение мониторинга лица отчитываются о результатах мониторинга перед руководителями органов местного самоупра</w:t>
      </w:r>
      <w:r w:rsidR="000A6987">
        <w:rPr>
          <w:rFonts w:ascii="Times New Roman" w:hAnsi="Times New Roman" w:cs="Times New Roman"/>
          <w:color w:val="000000"/>
          <w:sz w:val="24"/>
          <w:szCs w:val="24"/>
        </w:rPr>
        <w:t>вления ежемесячно не позднее 10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 xml:space="preserve"> числа месяца, следующего за </w:t>
      </w:r>
      <w:proofErr w:type="gramStart"/>
      <w:r w:rsidRPr="0048176C">
        <w:rPr>
          <w:rFonts w:ascii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Pr="00481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176C" w:rsidRPr="0048176C" w:rsidRDefault="0048176C" w:rsidP="0048176C">
      <w:pPr>
        <w:widowControl w:val="0"/>
        <w:numPr>
          <w:ilvl w:val="1"/>
          <w:numId w:val="5"/>
        </w:numPr>
        <w:tabs>
          <w:tab w:val="left" w:pos="1302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Отчет (сведения) о результатах мониторинга должен содержать: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информацию об объекте проведения мониторинга;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информацию об исполнителях проведения мониторинга;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информацию о периоде проведения мониторинга;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9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краткую характеристику предмета правового регулирования, основания проведения мониторинга.</w:t>
      </w:r>
    </w:p>
    <w:p w:rsidR="0048176C" w:rsidRPr="0048176C" w:rsidRDefault="0048176C" w:rsidP="0048176C">
      <w:pPr>
        <w:widowControl w:val="0"/>
        <w:numPr>
          <w:ilvl w:val="1"/>
          <w:numId w:val="5"/>
        </w:numPr>
        <w:tabs>
          <w:tab w:val="left" w:pos="1302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Отчет (сведения) о результатах мониторинга может содержать: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88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информацию о выявленных проблемах правового регулирования;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23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рекомендации по внесению изменений в муниципальные акты и (или) о необходимости принятия новых, отмене мун</w:t>
      </w:r>
      <w:r w:rsidRPr="0048176C">
        <w:rPr>
          <w:rStyle w:val="1"/>
          <w:rFonts w:eastAsia="Calibri"/>
          <w:sz w:val="24"/>
          <w:szCs w:val="24"/>
        </w:rPr>
        <w:t>ици</w:t>
      </w:r>
      <w:r w:rsidRPr="0048176C">
        <w:rPr>
          <w:rFonts w:ascii="Times New Roman" w:hAnsi="Times New Roman" w:cs="Times New Roman"/>
          <w:color w:val="000000"/>
          <w:sz w:val="24"/>
          <w:szCs w:val="24"/>
        </w:rPr>
        <w:t>пальных актов;</w:t>
      </w:r>
    </w:p>
    <w:p w:rsidR="0048176C" w:rsidRPr="0048176C" w:rsidRDefault="0048176C" w:rsidP="0048176C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1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Вновь принятые по результатам мониторинга муниципальные акты направляются для включения в регистр муниципальных нормативных правовых актов в порядке и сроки, определенные законодательством.</w:t>
      </w:r>
    </w:p>
    <w:p w:rsidR="0048176C" w:rsidRPr="0048176C" w:rsidRDefault="0048176C" w:rsidP="0048176C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1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48176C" w:rsidRPr="0048176C" w:rsidRDefault="0048176C" w:rsidP="0048176C">
      <w:pPr>
        <w:pStyle w:val="20"/>
        <w:keepNext/>
        <w:keepLines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bookmarkStart w:id="3" w:name="bookmark3"/>
      <w:r w:rsidRPr="0048176C">
        <w:rPr>
          <w:color w:val="000000"/>
          <w:sz w:val="24"/>
          <w:szCs w:val="24"/>
        </w:rPr>
        <w:t>IV. Ответственность</w:t>
      </w:r>
      <w:bookmarkEnd w:id="3"/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1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областным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48176C" w:rsidRPr="0048176C" w:rsidRDefault="0048176C" w:rsidP="0048176C">
      <w:pPr>
        <w:widowControl w:val="0"/>
        <w:numPr>
          <w:ilvl w:val="0"/>
          <w:numId w:val="5"/>
        </w:numPr>
        <w:tabs>
          <w:tab w:val="left" w:pos="1124"/>
        </w:tabs>
        <w:spacing w:after="0" w:line="240" w:lineRule="exact"/>
        <w:ind w:left="20" w:right="20" w:firstLine="700"/>
        <w:jc w:val="both"/>
        <w:rPr>
          <w:sz w:val="27"/>
          <w:szCs w:val="27"/>
        </w:rPr>
      </w:pPr>
      <w:r w:rsidRPr="0048176C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sectPr w:rsidR="0048176C" w:rsidRPr="0048176C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7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A6987"/>
    <w:rsid w:val="000C0638"/>
    <w:rsid w:val="000C4C38"/>
    <w:rsid w:val="000E6975"/>
    <w:rsid w:val="000F65B6"/>
    <w:rsid w:val="001232CF"/>
    <w:rsid w:val="001273C4"/>
    <w:rsid w:val="001319D7"/>
    <w:rsid w:val="00144931"/>
    <w:rsid w:val="00146BED"/>
    <w:rsid w:val="00154426"/>
    <w:rsid w:val="00170C3B"/>
    <w:rsid w:val="00194108"/>
    <w:rsid w:val="001A0B00"/>
    <w:rsid w:val="001A0C81"/>
    <w:rsid w:val="001F42D0"/>
    <w:rsid w:val="001F74BD"/>
    <w:rsid w:val="00214296"/>
    <w:rsid w:val="00217994"/>
    <w:rsid w:val="00221FD2"/>
    <w:rsid w:val="00223AA9"/>
    <w:rsid w:val="00243C1F"/>
    <w:rsid w:val="00251E81"/>
    <w:rsid w:val="00255395"/>
    <w:rsid w:val="00286469"/>
    <w:rsid w:val="00296359"/>
    <w:rsid w:val="002A59B8"/>
    <w:rsid w:val="002B33A0"/>
    <w:rsid w:val="002D3C69"/>
    <w:rsid w:val="002E53E2"/>
    <w:rsid w:val="00306D3C"/>
    <w:rsid w:val="00314BA8"/>
    <w:rsid w:val="00315E6C"/>
    <w:rsid w:val="00317C6C"/>
    <w:rsid w:val="00323CE1"/>
    <w:rsid w:val="00341240"/>
    <w:rsid w:val="0034629D"/>
    <w:rsid w:val="00357B7A"/>
    <w:rsid w:val="003757DC"/>
    <w:rsid w:val="00390AAE"/>
    <w:rsid w:val="003A6249"/>
    <w:rsid w:val="003B2B97"/>
    <w:rsid w:val="003F4186"/>
    <w:rsid w:val="003F6BAE"/>
    <w:rsid w:val="00423CC8"/>
    <w:rsid w:val="0042527E"/>
    <w:rsid w:val="004270AD"/>
    <w:rsid w:val="00437457"/>
    <w:rsid w:val="00442654"/>
    <w:rsid w:val="00446D3D"/>
    <w:rsid w:val="00455665"/>
    <w:rsid w:val="0046659E"/>
    <w:rsid w:val="004747E4"/>
    <w:rsid w:val="0048176C"/>
    <w:rsid w:val="0053587D"/>
    <w:rsid w:val="005410C5"/>
    <w:rsid w:val="00542311"/>
    <w:rsid w:val="00560515"/>
    <w:rsid w:val="00571C48"/>
    <w:rsid w:val="00572179"/>
    <w:rsid w:val="00575E76"/>
    <w:rsid w:val="0058364A"/>
    <w:rsid w:val="005B7060"/>
    <w:rsid w:val="005E2A57"/>
    <w:rsid w:val="005F57B9"/>
    <w:rsid w:val="006001BD"/>
    <w:rsid w:val="00601FE0"/>
    <w:rsid w:val="006049F9"/>
    <w:rsid w:val="006240B9"/>
    <w:rsid w:val="00633E7D"/>
    <w:rsid w:val="00637472"/>
    <w:rsid w:val="0067262D"/>
    <w:rsid w:val="006C1805"/>
    <w:rsid w:val="006F12BD"/>
    <w:rsid w:val="007000FF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7250B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905BA1"/>
    <w:rsid w:val="00915757"/>
    <w:rsid w:val="00927D6E"/>
    <w:rsid w:val="00937AF4"/>
    <w:rsid w:val="0097278D"/>
    <w:rsid w:val="00973DAE"/>
    <w:rsid w:val="00990B27"/>
    <w:rsid w:val="00990D27"/>
    <w:rsid w:val="00993431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C3483"/>
    <w:rsid w:val="00BD0249"/>
    <w:rsid w:val="00BE0273"/>
    <w:rsid w:val="00BE2AF0"/>
    <w:rsid w:val="00BE588D"/>
    <w:rsid w:val="00BF1C07"/>
    <w:rsid w:val="00C056E4"/>
    <w:rsid w:val="00C11096"/>
    <w:rsid w:val="00C13948"/>
    <w:rsid w:val="00C306B3"/>
    <w:rsid w:val="00C326C2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5BE9"/>
    <w:rsid w:val="00F775CC"/>
    <w:rsid w:val="00F94018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.pravo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341649A439E060978136BBC24AFDC27BEA4F6FE2A8AD40B70DF22E06EE64EFl1v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341649A439E060978128B6D426A2CB72E91267E9A9A413E352A97351lEv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13141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6</cp:revision>
  <cp:lastPrinted>2019-07-09T08:05:00Z</cp:lastPrinted>
  <dcterms:created xsi:type="dcterms:W3CDTF">2020-02-10T08:51:00Z</dcterms:created>
  <dcterms:modified xsi:type="dcterms:W3CDTF">2021-10-14T02:48:00Z</dcterms:modified>
</cp:coreProperties>
</file>